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10"/>
        <w:rPr>
          <w:rFonts w:ascii="Times New Roman"/>
          <w:sz w:val="24"/>
        </w:rPr>
      </w:pPr>
    </w:p>
    <w:p>
      <w:pPr>
        <w:pStyle w:val="BodyText"/>
        <w:ind w:left="4077"/>
        <w:rPr>
          <w:rFonts w:ascii="Times New Roman"/>
          <w:sz w:val="20"/>
        </w:rPr>
      </w:pPr>
      <w:r>
        <w:rPr>
          <w:rFonts w:ascii="Times New Roman"/>
          <w:sz w:val="20"/>
        </w:rPr>
        <w:drawing>
          <wp:inline distT="0" distB="0" distL="0" distR="0">
            <wp:extent cx="530733" cy="909827"/>
            <wp:effectExtent l="0" t="0" r="0" b="0"/>
            <wp:docPr id="1" name="image1.jpeg" descr=""/>
            <wp:cNvGraphicFramePr>
              <a:graphicFrameLocks noChangeAspect="1"/>
            </wp:cNvGraphicFramePr>
            <a:graphic>
              <a:graphicData uri="http://schemas.openxmlformats.org/drawingml/2006/picture">
                <pic:pic>
                  <pic:nvPicPr>
                    <pic:cNvPr id="2" name="image1.jpeg"/>
                    <pic:cNvPicPr/>
                  </pic:nvPicPr>
                  <pic:blipFill>
                    <a:blip r:embed="rId5" cstate="print"/>
                    <a:stretch>
                      <a:fillRect/>
                    </a:stretch>
                  </pic:blipFill>
                  <pic:spPr>
                    <a:xfrm>
                      <a:off x="0" y="0"/>
                      <a:ext cx="530733" cy="909827"/>
                    </a:xfrm>
                    <a:prstGeom prst="rect">
                      <a:avLst/>
                    </a:prstGeom>
                  </pic:spPr>
                </pic:pic>
              </a:graphicData>
            </a:graphic>
          </wp:inline>
        </w:drawing>
      </w:r>
      <w:r>
        <w:rPr>
          <w:rFonts w:ascii="Times New Roman"/>
          <w:sz w:val="20"/>
        </w:rPr>
      </w: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9"/>
        <w:rPr>
          <w:rFonts w:ascii="Times New Roman"/>
          <w:sz w:val="28"/>
        </w:rPr>
      </w:pPr>
    </w:p>
    <w:p>
      <w:pPr>
        <w:pStyle w:val="Heading1"/>
        <w:spacing w:before="67"/>
        <w:ind w:left="2087"/>
      </w:pPr>
      <w:r>
        <w:rPr/>
        <w:t>LOCAL GOVERNMENT AUDIT SERVICE</w:t>
      </w:r>
    </w:p>
    <w:p>
      <w:pPr>
        <w:pStyle w:val="BodyText"/>
        <w:rPr>
          <w:b/>
          <w:sz w:val="28"/>
        </w:rPr>
      </w:pPr>
    </w:p>
    <w:p>
      <w:pPr>
        <w:pStyle w:val="BodyText"/>
        <w:rPr>
          <w:b/>
          <w:sz w:val="28"/>
        </w:rPr>
      </w:pPr>
    </w:p>
    <w:p>
      <w:pPr>
        <w:pStyle w:val="BodyText"/>
        <w:rPr>
          <w:b/>
          <w:sz w:val="28"/>
        </w:rPr>
      </w:pPr>
    </w:p>
    <w:p>
      <w:pPr>
        <w:pStyle w:val="BodyText"/>
        <w:spacing w:before="11"/>
        <w:rPr>
          <w:b/>
          <w:sz w:val="27"/>
        </w:rPr>
      </w:pPr>
    </w:p>
    <w:p>
      <w:pPr>
        <w:spacing w:line="720" w:lineRule="auto" w:before="0"/>
        <w:ind w:left="3041" w:right="3041" w:firstLine="0"/>
        <w:jc w:val="center"/>
        <w:rPr>
          <w:b/>
          <w:sz w:val="28"/>
        </w:rPr>
      </w:pPr>
      <w:r>
        <w:rPr>
          <w:b/>
          <w:sz w:val="28"/>
        </w:rPr>
        <w:t>Statutory Audit Report to the</w:t>
      </w:r>
    </w:p>
    <w:p>
      <w:pPr>
        <w:spacing w:line="720" w:lineRule="auto" w:before="0"/>
        <w:ind w:left="2372" w:right="2369" w:firstLine="0"/>
        <w:jc w:val="center"/>
        <w:rPr>
          <w:b/>
          <w:sz w:val="28"/>
        </w:rPr>
      </w:pPr>
      <w:r>
        <w:rPr>
          <w:b/>
          <w:sz w:val="28"/>
        </w:rPr>
        <w:t>Members of Cavan County Council for the</w:t>
      </w:r>
    </w:p>
    <w:p>
      <w:pPr>
        <w:spacing w:line="320" w:lineRule="exact" w:before="0"/>
        <w:ind w:left="2085" w:right="2085" w:firstLine="0"/>
        <w:jc w:val="center"/>
        <w:rPr>
          <w:b/>
          <w:sz w:val="28"/>
        </w:rPr>
      </w:pPr>
      <w:r>
        <w:rPr>
          <w:b/>
          <w:sz w:val="28"/>
        </w:rPr>
        <w:t>Year Ended 31 December 2015</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8"/>
        <w:rPr>
          <w:b/>
          <w:sz w:val="11"/>
        </w:rPr>
      </w:pPr>
      <w:r>
        <w:rPr/>
        <w:drawing>
          <wp:anchor distT="0" distB="0" distL="0" distR="0" allowOverlap="1" layoutInCell="1" locked="0" behindDoc="0" simplePos="0" relativeHeight="0">
            <wp:simplePos x="0" y="0"/>
            <wp:positionH relativeFrom="page">
              <wp:posOffset>1142364</wp:posOffset>
            </wp:positionH>
            <wp:positionV relativeFrom="paragraph">
              <wp:posOffset>110434</wp:posOffset>
            </wp:positionV>
            <wp:extent cx="2547317" cy="1028700"/>
            <wp:effectExtent l="0" t="0" r="0" b="0"/>
            <wp:wrapTopAndBottom/>
            <wp:docPr id="3" name="image2.jpeg" descr=""/>
            <wp:cNvGraphicFramePr>
              <a:graphicFrameLocks noChangeAspect="1"/>
            </wp:cNvGraphicFramePr>
            <a:graphic>
              <a:graphicData uri="http://schemas.openxmlformats.org/drawingml/2006/picture">
                <pic:pic>
                  <pic:nvPicPr>
                    <pic:cNvPr id="4" name="image2.jpeg"/>
                    <pic:cNvPicPr/>
                  </pic:nvPicPr>
                  <pic:blipFill>
                    <a:blip r:embed="rId6" cstate="print"/>
                    <a:stretch>
                      <a:fillRect/>
                    </a:stretch>
                  </pic:blipFill>
                  <pic:spPr>
                    <a:xfrm>
                      <a:off x="0" y="0"/>
                      <a:ext cx="2547317" cy="1028700"/>
                    </a:xfrm>
                    <a:prstGeom prst="rect">
                      <a:avLst/>
                    </a:prstGeom>
                  </pic:spPr>
                </pic:pic>
              </a:graphicData>
            </a:graphic>
          </wp:anchor>
        </w:drawing>
      </w:r>
    </w:p>
    <w:p>
      <w:pPr>
        <w:spacing w:after="0"/>
        <w:rPr>
          <w:sz w:val="11"/>
        </w:rPr>
        <w:sectPr>
          <w:type w:val="continuous"/>
          <w:pgSz w:w="11910" w:h="16840"/>
          <w:pgMar w:top="1580" w:bottom="280" w:left="1680" w:right="1680"/>
        </w:sectPr>
      </w:pPr>
    </w:p>
    <w:p>
      <w:pPr>
        <w:spacing w:before="139"/>
        <w:ind w:left="118" w:right="0" w:firstLine="0"/>
        <w:jc w:val="left"/>
        <w:rPr>
          <w:b/>
          <w:sz w:val="28"/>
        </w:rPr>
      </w:pPr>
      <w:r>
        <w:rPr>
          <w:b/>
          <w:sz w:val="28"/>
        </w:rPr>
        <w:t>CONTENTS</w:t>
      </w:r>
    </w:p>
    <w:p>
      <w:pPr>
        <w:pStyle w:val="BodyText"/>
        <w:rPr>
          <w:b/>
          <w:sz w:val="20"/>
        </w:rPr>
      </w:pPr>
    </w:p>
    <w:p>
      <w:pPr>
        <w:pStyle w:val="BodyText"/>
        <w:rPr>
          <w:b/>
          <w:sz w:val="20"/>
        </w:rPr>
      </w:pPr>
    </w:p>
    <w:p>
      <w:pPr>
        <w:spacing w:before="184"/>
        <w:ind w:left="0" w:right="552" w:firstLine="0"/>
        <w:jc w:val="right"/>
        <w:rPr>
          <w:b/>
          <w:sz w:val="28"/>
        </w:rPr>
      </w:pPr>
      <w:r>
        <w:rPr>
          <w:b/>
          <w:sz w:val="28"/>
        </w:rPr>
        <w:t>Paragraph</w:t>
      </w:r>
    </w:p>
    <w:p>
      <w:pPr>
        <w:tabs>
          <w:tab w:pos="7500" w:val="right" w:leader="none"/>
        </w:tabs>
        <w:spacing w:before="641"/>
        <w:ind w:left="118" w:right="0" w:firstLine="0"/>
        <w:jc w:val="left"/>
        <w:rPr>
          <w:sz w:val="28"/>
        </w:rPr>
      </w:pPr>
      <w:r>
        <w:rPr>
          <w:sz w:val="28"/>
        </w:rPr>
        <w:t>Introduction</w:t>
        <w:tab/>
        <w:t>1</w:t>
      </w:r>
    </w:p>
    <w:p>
      <w:pPr>
        <w:tabs>
          <w:tab w:pos="7500" w:val="right" w:leader="none"/>
        </w:tabs>
        <w:spacing w:before="322"/>
        <w:ind w:left="118" w:right="0" w:firstLine="0"/>
        <w:jc w:val="left"/>
        <w:rPr>
          <w:sz w:val="28"/>
        </w:rPr>
      </w:pPr>
      <w:r>
        <w:rPr>
          <w:sz w:val="28"/>
        </w:rPr>
        <w:t>Financial</w:t>
      </w:r>
      <w:r>
        <w:rPr>
          <w:spacing w:val="-1"/>
          <w:sz w:val="28"/>
        </w:rPr>
        <w:t> </w:t>
      </w:r>
      <w:r>
        <w:rPr>
          <w:sz w:val="28"/>
        </w:rPr>
        <w:t>Standing</w:t>
        <w:tab/>
        <w:t>2</w:t>
      </w:r>
    </w:p>
    <w:p>
      <w:pPr>
        <w:tabs>
          <w:tab w:pos="7500" w:val="right" w:leader="none"/>
        </w:tabs>
        <w:spacing w:before="322"/>
        <w:ind w:left="118" w:right="0" w:firstLine="0"/>
        <w:jc w:val="left"/>
        <w:rPr>
          <w:sz w:val="28"/>
        </w:rPr>
      </w:pPr>
      <w:r>
        <w:rPr>
          <w:sz w:val="28"/>
        </w:rPr>
        <w:t>Income</w:t>
      </w:r>
      <w:r>
        <w:rPr>
          <w:spacing w:val="-3"/>
          <w:sz w:val="28"/>
        </w:rPr>
        <w:t> </w:t>
      </w:r>
      <w:r>
        <w:rPr>
          <w:sz w:val="28"/>
        </w:rPr>
        <w:t>Collection</w:t>
        <w:tab/>
        <w:t>3</w:t>
      </w:r>
    </w:p>
    <w:p>
      <w:pPr>
        <w:tabs>
          <w:tab w:pos="7500" w:val="right" w:leader="none"/>
        </w:tabs>
        <w:spacing w:before="319"/>
        <w:ind w:left="118" w:right="0" w:firstLine="0"/>
        <w:jc w:val="left"/>
        <w:rPr>
          <w:sz w:val="28"/>
        </w:rPr>
      </w:pPr>
      <w:r>
        <w:rPr>
          <w:sz w:val="28"/>
        </w:rPr>
        <w:t>Capital</w:t>
      </w:r>
      <w:r>
        <w:rPr>
          <w:spacing w:val="-3"/>
          <w:sz w:val="28"/>
        </w:rPr>
        <w:t> </w:t>
      </w:r>
      <w:r>
        <w:rPr>
          <w:sz w:val="28"/>
        </w:rPr>
        <w:t>Account</w:t>
        <w:tab/>
        <w:t>4</w:t>
      </w:r>
    </w:p>
    <w:p>
      <w:pPr>
        <w:tabs>
          <w:tab w:pos="7500" w:val="right" w:leader="none"/>
        </w:tabs>
        <w:spacing w:before="322"/>
        <w:ind w:left="118" w:right="0" w:firstLine="0"/>
        <w:jc w:val="left"/>
        <w:rPr>
          <w:sz w:val="28"/>
        </w:rPr>
      </w:pPr>
      <w:r>
        <w:rPr>
          <w:sz w:val="28"/>
        </w:rPr>
        <w:t>Transfer of Water and Sewerage Functions to</w:t>
      </w:r>
      <w:r>
        <w:rPr>
          <w:spacing w:val="-7"/>
          <w:sz w:val="28"/>
        </w:rPr>
        <w:t> </w:t>
      </w:r>
      <w:r>
        <w:rPr>
          <w:sz w:val="28"/>
        </w:rPr>
        <w:t>Irish</w:t>
      </w:r>
      <w:r>
        <w:rPr>
          <w:spacing w:val="3"/>
          <w:sz w:val="28"/>
        </w:rPr>
        <w:t> </w:t>
      </w:r>
      <w:r>
        <w:rPr>
          <w:sz w:val="28"/>
        </w:rPr>
        <w:t>Water</w:t>
        <w:tab/>
        <w:t>5</w:t>
      </w:r>
    </w:p>
    <w:p>
      <w:pPr>
        <w:tabs>
          <w:tab w:pos="7500" w:val="right" w:leader="none"/>
        </w:tabs>
        <w:spacing w:before="322"/>
        <w:ind w:left="118" w:right="0" w:firstLine="0"/>
        <w:jc w:val="left"/>
        <w:rPr>
          <w:sz w:val="28"/>
        </w:rPr>
      </w:pPr>
      <w:r>
        <w:rPr>
          <w:sz w:val="28"/>
        </w:rPr>
        <w:t>Procurement</w:t>
        <w:tab/>
        <w:t>6</w:t>
      </w:r>
    </w:p>
    <w:p>
      <w:pPr>
        <w:tabs>
          <w:tab w:pos="7500" w:val="right" w:leader="none"/>
        </w:tabs>
        <w:spacing w:before="322"/>
        <w:ind w:left="118" w:right="0" w:firstLine="0"/>
        <w:jc w:val="left"/>
        <w:rPr>
          <w:sz w:val="28"/>
        </w:rPr>
      </w:pPr>
      <w:r>
        <w:rPr>
          <w:sz w:val="28"/>
        </w:rPr>
        <w:t>Ethics</w:t>
      </w:r>
      <w:r>
        <w:rPr>
          <w:spacing w:val="-2"/>
          <w:sz w:val="28"/>
        </w:rPr>
        <w:t> </w:t>
      </w:r>
      <w:r>
        <w:rPr>
          <w:sz w:val="28"/>
        </w:rPr>
        <w:t>Register</w:t>
        <w:tab/>
        <w:t>7</w:t>
      </w:r>
    </w:p>
    <w:p>
      <w:pPr>
        <w:tabs>
          <w:tab w:pos="7500" w:val="right" w:leader="none"/>
        </w:tabs>
        <w:spacing w:before="320"/>
        <w:ind w:left="118" w:right="0" w:firstLine="0"/>
        <w:jc w:val="left"/>
        <w:rPr>
          <w:sz w:val="28"/>
        </w:rPr>
      </w:pPr>
      <w:r>
        <w:rPr>
          <w:sz w:val="28"/>
        </w:rPr>
        <w:t>Capital Assistance</w:t>
      </w:r>
      <w:r>
        <w:rPr>
          <w:spacing w:val="-3"/>
          <w:sz w:val="28"/>
        </w:rPr>
        <w:t> </w:t>
      </w:r>
      <w:r>
        <w:rPr>
          <w:sz w:val="28"/>
        </w:rPr>
        <w:t>Scheme</w:t>
      </w:r>
      <w:r>
        <w:rPr>
          <w:spacing w:val="-1"/>
          <w:sz w:val="28"/>
        </w:rPr>
        <w:t> </w:t>
      </w:r>
      <w:r>
        <w:rPr>
          <w:sz w:val="28"/>
        </w:rPr>
        <w:t>Grants</w:t>
        <w:tab/>
        <w:t>8</w:t>
      </w:r>
    </w:p>
    <w:p>
      <w:pPr>
        <w:tabs>
          <w:tab w:pos="7500" w:val="right" w:leader="none"/>
        </w:tabs>
        <w:spacing w:before="322"/>
        <w:ind w:left="118" w:right="0" w:firstLine="0"/>
        <w:jc w:val="left"/>
        <w:rPr>
          <w:sz w:val="28"/>
        </w:rPr>
      </w:pPr>
      <w:r>
        <w:rPr>
          <w:sz w:val="28"/>
        </w:rPr>
        <w:t>Part</w:t>
      </w:r>
      <w:r>
        <w:rPr>
          <w:spacing w:val="-1"/>
          <w:sz w:val="28"/>
        </w:rPr>
        <w:t> </w:t>
      </w:r>
      <w:r>
        <w:rPr>
          <w:sz w:val="28"/>
        </w:rPr>
        <w:t>V</w:t>
      </w:r>
      <w:r>
        <w:rPr>
          <w:spacing w:val="-3"/>
          <w:sz w:val="28"/>
        </w:rPr>
        <w:t> </w:t>
      </w:r>
      <w:r>
        <w:rPr>
          <w:sz w:val="28"/>
        </w:rPr>
        <w:t>Register</w:t>
        <w:tab/>
        <w:t>9</w:t>
      </w:r>
    </w:p>
    <w:p>
      <w:pPr>
        <w:tabs>
          <w:tab w:pos="7500" w:val="right" w:leader="none"/>
        </w:tabs>
        <w:spacing w:before="322"/>
        <w:ind w:left="118" w:right="0" w:firstLine="0"/>
        <w:jc w:val="left"/>
        <w:rPr>
          <w:sz w:val="28"/>
        </w:rPr>
      </w:pPr>
      <w:r>
        <w:rPr>
          <w:sz w:val="28"/>
        </w:rPr>
        <w:t>Development Contributions</w:t>
        <w:tab/>
        <w:t>10</w:t>
      </w:r>
    </w:p>
    <w:p>
      <w:pPr>
        <w:tabs>
          <w:tab w:pos="7500" w:val="right" w:leader="none"/>
        </w:tabs>
        <w:spacing w:before="322"/>
        <w:ind w:left="118" w:right="0" w:firstLine="0"/>
        <w:jc w:val="left"/>
        <w:rPr>
          <w:sz w:val="28"/>
        </w:rPr>
      </w:pPr>
      <w:r>
        <w:rPr>
          <w:sz w:val="28"/>
        </w:rPr>
        <w:t>Housing</w:t>
      </w:r>
      <w:r>
        <w:rPr>
          <w:spacing w:val="-2"/>
          <w:sz w:val="28"/>
        </w:rPr>
        <w:t> </w:t>
      </w:r>
      <w:r>
        <w:rPr>
          <w:sz w:val="28"/>
        </w:rPr>
        <w:t>Stock</w:t>
      </w:r>
      <w:r>
        <w:rPr>
          <w:spacing w:val="-1"/>
          <w:sz w:val="28"/>
        </w:rPr>
        <w:t> </w:t>
      </w:r>
      <w:r>
        <w:rPr>
          <w:sz w:val="28"/>
        </w:rPr>
        <w:t>Reconciliation</w:t>
        <w:tab/>
        <w:t>11</w:t>
      </w:r>
    </w:p>
    <w:p>
      <w:pPr>
        <w:tabs>
          <w:tab w:pos="7498" w:val="right" w:leader="none"/>
        </w:tabs>
        <w:spacing w:before="319"/>
        <w:ind w:left="118" w:right="0" w:firstLine="0"/>
        <w:jc w:val="left"/>
        <w:rPr>
          <w:sz w:val="28"/>
        </w:rPr>
      </w:pPr>
      <w:r>
        <w:rPr>
          <w:sz w:val="28"/>
        </w:rPr>
        <w:t>Registration of Title /</w:t>
      </w:r>
      <w:r>
        <w:rPr>
          <w:spacing w:val="-5"/>
          <w:sz w:val="28"/>
        </w:rPr>
        <w:t> </w:t>
      </w:r>
      <w:r>
        <w:rPr>
          <w:sz w:val="28"/>
        </w:rPr>
        <w:t>Land</w:t>
      </w:r>
      <w:r>
        <w:rPr>
          <w:spacing w:val="-2"/>
          <w:sz w:val="28"/>
        </w:rPr>
        <w:t> </w:t>
      </w:r>
      <w:r>
        <w:rPr>
          <w:sz w:val="28"/>
        </w:rPr>
        <w:t>Register</w:t>
        <w:tab/>
        <w:t>12</w:t>
      </w:r>
    </w:p>
    <w:p>
      <w:pPr>
        <w:tabs>
          <w:tab w:pos="7500" w:val="right" w:leader="none"/>
        </w:tabs>
        <w:spacing w:before="322"/>
        <w:ind w:left="118" w:right="0" w:firstLine="0"/>
        <w:jc w:val="left"/>
        <w:rPr>
          <w:sz w:val="28"/>
        </w:rPr>
      </w:pPr>
      <w:r>
        <w:rPr>
          <w:sz w:val="28"/>
        </w:rPr>
        <w:t>Local</w:t>
      </w:r>
      <w:r>
        <w:rPr>
          <w:spacing w:val="-3"/>
          <w:sz w:val="28"/>
        </w:rPr>
        <w:t> </w:t>
      </w:r>
      <w:r>
        <w:rPr>
          <w:sz w:val="28"/>
        </w:rPr>
        <w:t>Authority</w:t>
      </w:r>
      <w:r>
        <w:rPr>
          <w:spacing w:val="-1"/>
          <w:sz w:val="28"/>
        </w:rPr>
        <w:t> </w:t>
      </w:r>
      <w:r>
        <w:rPr>
          <w:sz w:val="28"/>
        </w:rPr>
        <w:t>Companies</w:t>
        <w:tab/>
        <w:t>13</w:t>
      </w:r>
    </w:p>
    <w:p>
      <w:pPr>
        <w:tabs>
          <w:tab w:pos="7500" w:val="right" w:leader="none"/>
        </w:tabs>
        <w:spacing w:before="322"/>
        <w:ind w:left="118" w:right="0" w:firstLine="0"/>
        <w:jc w:val="left"/>
        <w:rPr>
          <w:sz w:val="28"/>
        </w:rPr>
      </w:pPr>
      <w:r>
        <w:rPr>
          <w:spacing w:val="-4"/>
          <w:sz w:val="28"/>
        </w:rPr>
        <w:t>Corporate</w:t>
      </w:r>
      <w:r>
        <w:rPr>
          <w:spacing w:val="-5"/>
          <w:sz w:val="28"/>
        </w:rPr>
        <w:t> </w:t>
      </w:r>
      <w:r>
        <w:rPr>
          <w:spacing w:val="-4"/>
          <w:sz w:val="28"/>
        </w:rPr>
        <w:t>Governance</w:t>
        <w:tab/>
      </w:r>
      <w:r>
        <w:rPr>
          <w:sz w:val="28"/>
        </w:rPr>
        <w:t>14</w:t>
      </w:r>
    </w:p>
    <w:p>
      <w:pPr>
        <w:tabs>
          <w:tab w:pos="7498" w:val="right" w:leader="none"/>
        </w:tabs>
        <w:spacing w:before="322"/>
        <w:ind w:left="118" w:right="0" w:firstLine="0"/>
        <w:jc w:val="left"/>
        <w:rPr>
          <w:sz w:val="28"/>
        </w:rPr>
      </w:pPr>
      <w:r>
        <w:rPr>
          <w:sz w:val="28"/>
        </w:rPr>
        <w:t>Acknowledgement</w:t>
        <w:tab/>
        <w:t>15</w:t>
      </w:r>
    </w:p>
    <w:p>
      <w:pPr>
        <w:spacing w:after="0"/>
        <w:jc w:val="left"/>
        <w:rPr>
          <w:sz w:val="28"/>
        </w:rPr>
        <w:sectPr>
          <w:pgSz w:w="11910" w:h="16840"/>
          <w:pgMar w:top="1580" w:bottom="280" w:left="1680" w:right="1680"/>
        </w:sectPr>
      </w:pPr>
    </w:p>
    <w:p>
      <w:pPr>
        <w:pStyle w:val="Heading2"/>
        <w:spacing w:before="58"/>
        <w:ind w:left="1279" w:firstLine="0"/>
      </w:pPr>
      <w:r>
        <w:rPr>
          <w:rFonts w:ascii="Times New Roman" w:hAnsi="Times New Roman"/>
          <w:b w:val="0"/>
          <w:spacing w:val="-56"/>
          <w:w w:val="100"/>
          <w:u w:val="single"/>
        </w:rPr>
        <w:t> </w:t>
      </w:r>
      <w:r>
        <w:rPr>
          <w:spacing w:val="-4"/>
          <w:u w:val="single"/>
        </w:rPr>
        <w:t>AUDITOR’S REPORT </w:t>
      </w:r>
      <w:r>
        <w:rPr>
          <w:spacing w:val="-3"/>
          <w:u w:val="single"/>
        </w:rPr>
        <w:t>TO THE </w:t>
      </w:r>
      <w:r>
        <w:rPr>
          <w:spacing w:val="-4"/>
          <w:u w:val="single"/>
        </w:rPr>
        <w:t>MEMBERS </w:t>
      </w:r>
      <w:r>
        <w:rPr>
          <w:u w:val="single"/>
        </w:rPr>
        <w:t>OF </w:t>
      </w:r>
      <w:r>
        <w:rPr>
          <w:spacing w:val="-4"/>
          <w:u w:val="single"/>
        </w:rPr>
        <w:t>CAVAN COUNTY COUNCIL</w:t>
      </w:r>
    </w:p>
    <w:p>
      <w:pPr>
        <w:pStyle w:val="BodyText"/>
        <w:spacing w:before="11"/>
        <w:rPr>
          <w:b/>
          <w:sz w:val="21"/>
        </w:rPr>
      </w:pPr>
    </w:p>
    <w:p>
      <w:pPr>
        <w:tabs>
          <w:tab w:pos="837" w:val="left" w:leader="none"/>
        </w:tabs>
        <w:spacing w:before="0"/>
        <w:ind w:left="118" w:right="0" w:firstLine="0"/>
        <w:jc w:val="left"/>
        <w:rPr>
          <w:b/>
          <w:sz w:val="22"/>
        </w:rPr>
      </w:pPr>
      <w:r>
        <w:rPr>
          <w:b/>
          <w:sz w:val="22"/>
        </w:rPr>
        <w:t>1</w:t>
        <w:tab/>
      </w:r>
      <w:r>
        <w:rPr>
          <w:b/>
          <w:spacing w:val="-4"/>
          <w:sz w:val="22"/>
        </w:rPr>
        <w:t>Introduction</w:t>
      </w:r>
    </w:p>
    <w:p>
      <w:pPr>
        <w:pStyle w:val="BodyText"/>
        <w:spacing w:before="1"/>
        <w:rPr>
          <w:b/>
        </w:rPr>
      </w:pPr>
    </w:p>
    <w:p>
      <w:pPr>
        <w:pStyle w:val="BodyText"/>
        <w:tabs>
          <w:tab w:pos="837" w:val="left" w:leader="none"/>
        </w:tabs>
        <w:ind w:left="838" w:right="208" w:hanging="720"/>
      </w:pPr>
      <w:r>
        <w:rPr>
          <w:spacing w:val="-3"/>
        </w:rPr>
        <w:t>1.1</w:t>
        <w:tab/>
      </w:r>
      <w:r>
        <w:rPr/>
        <w:t>I </w:t>
      </w:r>
      <w:r>
        <w:rPr>
          <w:spacing w:val="-4"/>
        </w:rPr>
        <w:t>have audited </w:t>
      </w:r>
      <w:r>
        <w:rPr>
          <w:spacing w:val="-3"/>
        </w:rPr>
        <w:t>the </w:t>
      </w:r>
      <w:r>
        <w:rPr>
          <w:spacing w:val="-4"/>
        </w:rPr>
        <w:t>Annual Financial Statement (AFS) </w:t>
      </w:r>
      <w:r>
        <w:rPr>
          <w:spacing w:val="-3"/>
        </w:rPr>
        <w:t>of </w:t>
      </w:r>
      <w:r>
        <w:rPr>
          <w:spacing w:val="-4"/>
        </w:rPr>
        <w:t>Cavan County Council </w:t>
      </w:r>
      <w:r>
        <w:rPr>
          <w:spacing w:val="-3"/>
        </w:rPr>
        <w:t>for the</w:t>
      </w:r>
      <w:r>
        <w:rPr>
          <w:spacing w:val="24"/>
        </w:rPr>
        <w:t> </w:t>
      </w:r>
      <w:r>
        <w:rPr>
          <w:spacing w:val="-3"/>
        </w:rPr>
        <w:t>year</w:t>
      </w:r>
      <w:r>
        <w:rPr>
          <w:spacing w:val="-4"/>
        </w:rPr>
        <w:t> </w:t>
      </w:r>
      <w:r>
        <w:rPr>
          <w:spacing w:val="-3"/>
        </w:rPr>
        <w:t>ended</w:t>
      </w:r>
      <w:r>
        <w:rPr>
          <w:w w:val="100"/>
        </w:rPr>
        <w:t> </w:t>
      </w:r>
      <w:r>
        <w:rPr>
          <w:spacing w:val="-3"/>
        </w:rPr>
        <w:t>31 </w:t>
      </w:r>
      <w:r>
        <w:rPr>
          <w:spacing w:val="-4"/>
        </w:rPr>
        <w:t>December 2015, </w:t>
      </w:r>
      <w:r>
        <w:rPr>
          <w:spacing w:val="-3"/>
        </w:rPr>
        <w:t>which </w:t>
      </w:r>
      <w:r>
        <w:rPr>
          <w:spacing w:val="-4"/>
        </w:rPr>
        <w:t>comprise </w:t>
      </w:r>
      <w:r>
        <w:rPr>
          <w:spacing w:val="-3"/>
        </w:rPr>
        <w:t>the </w:t>
      </w:r>
      <w:r>
        <w:rPr>
          <w:spacing w:val="-4"/>
        </w:rPr>
        <w:t>Statement </w:t>
      </w:r>
      <w:r>
        <w:rPr>
          <w:spacing w:val="-3"/>
        </w:rPr>
        <w:t>of </w:t>
      </w:r>
      <w:r>
        <w:rPr>
          <w:spacing w:val="-4"/>
        </w:rPr>
        <w:t>Accounting Policies, Statement </w:t>
      </w:r>
      <w:r>
        <w:rPr>
          <w:spacing w:val="-3"/>
        </w:rPr>
        <w:t>of </w:t>
      </w:r>
      <w:r>
        <w:rPr>
          <w:spacing w:val="-4"/>
        </w:rPr>
        <w:t>Comprehensive Income, Statement </w:t>
      </w:r>
      <w:r>
        <w:rPr>
          <w:spacing w:val="-3"/>
        </w:rPr>
        <w:t>of </w:t>
      </w:r>
      <w:r>
        <w:rPr>
          <w:spacing w:val="-4"/>
        </w:rPr>
        <w:t>Financial Position, Funds </w:t>
      </w:r>
      <w:r>
        <w:rPr>
          <w:spacing w:val="-3"/>
        </w:rPr>
        <w:t>Flow </w:t>
      </w:r>
      <w:r>
        <w:rPr>
          <w:spacing w:val="-4"/>
        </w:rPr>
        <w:t>Statement </w:t>
      </w:r>
      <w:r>
        <w:rPr>
          <w:spacing w:val="-3"/>
        </w:rPr>
        <w:t>and notes </w:t>
      </w:r>
      <w:r>
        <w:rPr/>
        <w:t>to </w:t>
      </w:r>
      <w:r>
        <w:rPr>
          <w:spacing w:val="-4"/>
        </w:rPr>
        <w:t>and forming part </w:t>
      </w:r>
      <w:r>
        <w:rPr>
          <w:spacing w:val="-3"/>
        </w:rPr>
        <w:t>of the </w:t>
      </w:r>
      <w:r>
        <w:rPr>
          <w:spacing w:val="-4"/>
        </w:rPr>
        <w:t>accounts. </w:t>
      </w:r>
      <w:r>
        <w:rPr/>
        <w:t>The </w:t>
      </w:r>
      <w:r>
        <w:rPr>
          <w:spacing w:val="-4"/>
        </w:rPr>
        <w:t>financial reporting framework that </w:t>
      </w:r>
      <w:r>
        <w:rPr>
          <w:spacing w:val="-3"/>
        </w:rPr>
        <w:t>has </w:t>
      </w:r>
      <w:r>
        <w:rPr>
          <w:spacing w:val="-4"/>
        </w:rPr>
        <w:t>been applied </w:t>
      </w:r>
      <w:r>
        <w:rPr/>
        <w:t>in its </w:t>
      </w:r>
      <w:r>
        <w:rPr>
          <w:spacing w:val="-4"/>
        </w:rPr>
        <w:t>preparation </w:t>
      </w:r>
      <w:r>
        <w:rPr/>
        <w:t>is </w:t>
      </w:r>
      <w:r>
        <w:rPr>
          <w:spacing w:val="-3"/>
        </w:rPr>
        <w:t>the Code of Practice and </w:t>
      </w:r>
      <w:r>
        <w:rPr>
          <w:spacing w:val="-4"/>
        </w:rPr>
        <w:t>Accounting Regulations </w:t>
      </w:r>
      <w:r>
        <w:rPr>
          <w:spacing w:val="-3"/>
        </w:rPr>
        <w:t>for </w:t>
      </w:r>
      <w:r>
        <w:rPr>
          <w:spacing w:val="-4"/>
        </w:rPr>
        <w:t>Local Authorities, </w:t>
      </w:r>
      <w:r>
        <w:rPr>
          <w:spacing w:val="-3"/>
        </w:rPr>
        <w:t>as </w:t>
      </w:r>
      <w:r>
        <w:rPr>
          <w:spacing w:val="-4"/>
        </w:rPr>
        <w:t>prescribed </w:t>
      </w:r>
      <w:r>
        <w:rPr>
          <w:spacing w:val="-3"/>
        </w:rPr>
        <w:t>by the Minister </w:t>
      </w:r>
      <w:r>
        <w:rPr/>
        <w:t>for the </w:t>
      </w:r>
      <w:r>
        <w:rPr>
          <w:spacing w:val="-4"/>
        </w:rPr>
        <w:t>Environment, </w:t>
      </w:r>
      <w:r>
        <w:rPr>
          <w:spacing w:val="-3"/>
        </w:rPr>
        <w:t>Community </w:t>
      </w:r>
      <w:r>
        <w:rPr>
          <w:spacing w:val="-4"/>
        </w:rPr>
        <w:t>and Local</w:t>
      </w:r>
      <w:r>
        <w:rPr>
          <w:spacing w:val="-9"/>
        </w:rPr>
        <w:t> </w:t>
      </w:r>
      <w:r>
        <w:rPr>
          <w:spacing w:val="-4"/>
        </w:rPr>
        <w:t>Government.</w:t>
      </w:r>
    </w:p>
    <w:p>
      <w:pPr>
        <w:pStyle w:val="BodyText"/>
        <w:spacing w:before="1"/>
      </w:pPr>
    </w:p>
    <w:p>
      <w:pPr>
        <w:pStyle w:val="BodyText"/>
        <w:ind w:left="838" w:right="308"/>
      </w:pPr>
      <w:r>
        <w:rPr/>
        <w:t>My </w:t>
      </w:r>
      <w:r>
        <w:rPr>
          <w:spacing w:val="-3"/>
        </w:rPr>
        <w:t>main </w:t>
      </w:r>
      <w:r>
        <w:rPr>
          <w:spacing w:val="-4"/>
        </w:rPr>
        <w:t>statutory responsibility, following </w:t>
      </w:r>
      <w:r>
        <w:rPr>
          <w:spacing w:val="-3"/>
        </w:rPr>
        <w:t>the </w:t>
      </w:r>
      <w:r>
        <w:rPr>
          <w:spacing w:val="-4"/>
        </w:rPr>
        <w:t>completion </w:t>
      </w:r>
      <w:r>
        <w:rPr>
          <w:spacing w:val="-3"/>
        </w:rPr>
        <w:t>of the </w:t>
      </w:r>
      <w:r>
        <w:rPr>
          <w:spacing w:val="-4"/>
        </w:rPr>
        <w:t>audit work, </w:t>
      </w:r>
      <w:r>
        <w:rPr/>
        <w:t>is to </w:t>
      </w:r>
      <w:r>
        <w:rPr>
          <w:spacing w:val="-4"/>
        </w:rPr>
        <w:t>express </w:t>
      </w:r>
      <w:r>
        <w:rPr/>
        <w:t>my </w:t>
      </w:r>
      <w:r>
        <w:rPr>
          <w:spacing w:val="-4"/>
        </w:rPr>
        <w:t>independent </w:t>
      </w:r>
      <w:r>
        <w:rPr>
          <w:spacing w:val="-3"/>
        </w:rPr>
        <w:t>audit </w:t>
      </w:r>
      <w:r>
        <w:rPr>
          <w:spacing w:val="-4"/>
        </w:rPr>
        <w:t>opinion </w:t>
      </w:r>
      <w:r>
        <w:rPr/>
        <w:t>on the </w:t>
      </w:r>
      <w:r>
        <w:rPr>
          <w:spacing w:val="-3"/>
        </w:rPr>
        <w:t>AFS of the </w:t>
      </w:r>
      <w:r>
        <w:rPr>
          <w:spacing w:val="-4"/>
        </w:rPr>
        <w:t>Council, </w:t>
      </w:r>
      <w:r>
        <w:rPr>
          <w:spacing w:val="-3"/>
        </w:rPr>
        <w:t>as </w:t>
      </w:r>
      <w:r>
        <w:rPr/>
        <w:t>to </w:t>
      </w:r>
      <w:r>
        <w:rPr>
          <w:spacing w:val="-4"/>
        </w:rPr>
        <w:t>whether </w:t>
      </w:r>
      <w:r>
        <w:rPr/>
        <w:t>it </w:t>
      </w:r>
      <w:r>
        <w:rPr>
          <w:spacing w:val="-4"/>
        </w:rPr>
        <w:t>presents </w:t>
      </w:r>
      <w:r>
        <w:rPr>
          <w:spacing w:val="-3"/>
        </w:rPr>
        <w:t>fairly </w:t>
      </w:r>
      <w:r>
        <w:rPr/>
        <w:t>the </w:t>
      </w:r>
      <w:r>
        <w:rPr>
          <w:spacing w:val="-4"/>
        </w:rPr>
        <w:t>financial position </w:t>
      </w:r>
      <w:r>
        <w:rPr>
          <w:spacing w:val="-3"/>
        </w:rPr>
        <w:t>at </w:t>
      </w:r>
      <w:r>
        <w:rPr/>
        <w:t>31 </w:t>
      </w:r>
      <w:r>
        <w:rPr>
          <w:spacing w:val="-4"/>
        </w:rPr>
        <w:t>December </w:t>
      </w:r>
      <w:r>
        <w:rPr>
          <w:spacing w:val="-3"/>
        </w:rPr>
        <w:t>2015 and </w:t>
      </w:r>
      <w:r>
        <w:rPr/>
        <w:t>its </w:t>
      </w:r>
      <w:r>
        <w:rPr>
          <w:spacing w:val="-4"/>
        </w:rPr>
        <w:t>income </w:t>
      </w:r>
      <w:r>
        <w:rPr>
          <w:spacing w:val="-3"/>
        </w:rPr>
        <w:t>and </w:t>
      </w:r>
      <w:r>
        <w:rPr>
          <w:spacing w:val="-4"/>
        </w:rPr>
        <w:t>expenditure. </w:t>
      </w:r>
      <w:r>
        <w:rPr/>
        <w:t>My </w:t>
      </w:r>
      <w:r>
        <w:rPr>
          <w:spacing w:val="-4"/>
        </w:rPr>
        <w:t>audit opinion, which </w:t>
      </w:r>
      <w:r>
        <w:rPr/>
        <w:t>is </w:t>
      </w:r>
      <w:r>
        <w:rPr>
          <w:spacing w:val="-4"/>
        </w:rPr>
        <w:t>unmodified, </w:t>
      </w:r>
      <w:r>
        <w:rPr/>
        <w:t>is </w:t>
      </w:r>
      <w:r>
        <w:rPr>
          <w:spacing w:val="-4"/>
        </w:rPr>
        <w:t>stated </w:t>
      </w:r>
      <w:r>
        <w:rPr>
          <w:spacing w:val="-3"/>
        </w:rPr>
        <w:t>on page </w:t>
      </w:r>
      <w:r>
        <w:rPr/>
        <w:t>5 </w:t>
      </w:r>
      <w:r>
        <w:rPr>
          <w:spacing w:val="-3"/>
        </w:rPr>
        <w:t>of the AFS.</w:t>
      </w:r>
    </w:p>
    <w:p>
      <w:pPr>
        <w:pStyle w:val="BodyText"/>
        <w:spacing w:before="1"/>
      </w:pPr>
    </w:p>
    <w:p>
      <w:pPr>
        <w:pStyle w:val="BodyText"/>
        <w:ind w:left="838" w:right="116"/>
      </w:pPr>
      <w:r>
        <w:rPr>
          <w:spacing w:val="-3"/>
        </w:rPr>
        <w:t>The </w:t>
      </w:r>
      <w:r>
        <w:rPr>
          <w:spacing w:val="-4"/>
        </w:rPr>
        <w:t>Council </w:t>
      </w:r>
      <w:r>
        <w:rPr/>
        <w:t>is </w:t>
      </w:r>
      <w:r>
        <w:rPr>
          <w:spacing w:val="-3"/>
        </w:rPr>
        <w:t>by law, </w:t>
      </w:r>
      <w:r>
        <w:rPr>
          <w:spacing w:val="-4"/>
        </w:rPr>
        <w:t>responsible </w:t>
      </w:r>
      <w:r>
        <w:rPr>
          <w:spacing w:val="-3"/>
        </w:rPr>
        <w:t>for </w:t>
      </w:r>
      <w:r>
        <w:rPr/>
        <w:t>the </w:t>
      </w:r>
      <w:r>
        <w:rPr>
          <w:spacing w:val="-4"/>
        </w:rPr>
        <w:t>maintenance </w:t>
      </w:r>
      <w:r>
        <w:rPr>
          <w:spacing w:val="-3"/>
        </w:rPr>
        <w:t>of all </w:t>
      </w:r>
      <w:r>
        <w:rPr>
          <w:spacing w:val="-4"/>
        </w:rPr>
        <w:t>accounting records including </w:t>
      </w:r>
      <w:r>
        <w:rPr/>
        <w:t>the </w:t>
      </w:r>
      <w:r>
        <w:rPr>
          <w:spacing w:val="-4"/>
        </w:rPr>
        <w:t>preparation </w:t>
      </w:r>
      <w:r>
        <w:rPr>
          <w:spacing w:val="-3"/>
        </w:rPr>
        <w:t>of the AFS. </w:t>
      </w:r>
      <w:r>
        <w:rPr/>
        <w:t>It is my </w:t>
      </w:r>
      <w:r>
        <w:rPr>
          <w:spacing w:val="-4"/>
        </w:rPr>
        <w:t>responsibility, based </w:t>
      </w:r>
      <w:r>
        <w:rPr/>
        <w:t>on my </w:t>
      </w:r>
      <w:r>
        <w:rPr>
          <w:spacing w:val="-3"/>
        </w:rPr>
        <w:t>audit, </w:t>
      </w:r>
      <w:r>
        <w:rPr/>
        <w:t>to </w:t>
      </w:r>
      <w:r>
        <w:rPr>
          <w:spacing w:val="-4"/>
        </w:rPr>
        <w:t>form </w:t>
      </w:r>
      <w:r>
        <w:rPr>
          <w:spacing w:val="-3"/>
        </w:rPr>
        <w:t>an </w:t>
      </w:r>
      <w:r>
        <w:rPr>
          <w:spacing w:val="-4"/>
        </w:rPr>
        <w:t>independent opinion </w:t>
      </w:r>
      <w:r>
        <w:rPr>
          <w:spacing w:val="-3"/>
        </w:rPr>
        <w:t>on </w:t>
      </w:r>
      <w:r>
        <w:rPr/>
        <w:t>the </w:t>
      </w:r>
      <w:r>
        <w:rPr>
          <w:spacing w:val="-4"/>
        </w:rPr>
        <w:t>statement </w:t>
      </w:r>
      <w:r>
        <w:rPr>
          <w:spacing w:val="-3"/>
        </w:rPr>
        <w:t>and </w:t>
      </w:r>
      <w:r>
        <w:rPr/>
        <w:t>to </w:t>
      </w:r>
      <w:r>
        <w:rPr>
          <w:spacing w:val="-4"/>
        </w:rPr>
        <w:t>report </w:t>
      </w:r>
      <w:r>
        <w:rPr/>
        <w:t>my </w:t>
      </w:r>
      <w:r>
        <w:rPr>
          <w:spacing w:val="-4"/>
        </w:rPr>
        <w:t>opinion. </w:t>
      </w:r>
      <w:r>
        <w:rPr/>
        <w:t>I </w:t>
      </w:r>
      <w:r>
        <w:rPr>
          <w:spacing w:val="-4"/>
        </w:rPr>
        <w:t>conducted </w:t>
      </w:r>
      <w:r>
        <w:rPr/>
        <w:t>my </w:t>
      </w:r>
      <w:r>
        <w:rPr>
          <w:spacing w:val="-3"/>
        </w:rPr>
        <w:t>audit </w:t>
      </w:r>
      <w:r>
        <w:rPr/>
        <w:t>in </w:t>
      </w:r>
      <w:r>
        <w:rPr>
          <w:spacing w:val="-4"/>
        </w:rPr>
        <w:t>accordance </w:t>
      </w:r>
      <w:r>
        <w:rPr>
          <w:spacing w:val="-3"/>
        </w:rPr>
        <w:t>with the Code of </w:t>
      </w:r>
      <w:r>
        <w:rPr>
          <w:spacing w:val="-4"/>
        </w:rPr>
        <w:t>Audit Practice. </w:t>
      </w:r>
      <w:r>
        <w:rPr/>
        <w:t>An </w:t>
      </w:r>
      <w:r>
        <w:rPr>
          <w:spacing w:val="-3"/>
        </w:rPr>
        <w:t>audit </w:t>
      </w:r>
      <w:r>
        <w:rPr>
          <w:spacing w:val="-4"/>
        </w:rPr>
        <w:t>includes examination, </w:t>
      </w:r>
      <w:r>
        <w:rPr>
          <w:spacing w:val="-3"/>
        </w:rPr>
        <w:t>on </w:t>
      </w:r>
      <w:r>
        <w:rPr/>
        <w:t>a </w:t>
      </w:r>
      <w:r>
        <w:rPr>
          <w:spacing w:val="-4"/>
        </w:rPr>
        <w:t>test basis, </w:t>
      </w:r>
      <w:r>
        <w:rPr>
          <w:spacing w:val="-3"/>
        </w:rPr>
        <w:t>of </w:t>
      </w:r>
      <w:r>
        <w:rPr>
          <w:spacing w:val="-4"/>
        </w:rPr>
        <w:t>evidence relevant </w:t>
      </w:r>
      <w:r>
        <w:rPr/>
        <w:t>to </w:t>
      </w:r>
      <w:r>
        <w:rPr>
          <w:spacing w:val="-3"/>
        </w:rPr>
        <w:t>the </w:t>
      </w:r>
      <w:r>
        <w:rPr>
          <w:spacing w:val="-4"/>
        </w:rPr>
        <w:t>amounts </w:t>
      </w:r>
      <w:r>
        <w:rPr>
          <w:spacing w:val="-3"/>
        </w:rPr>
        <w:t>and </w:t>
      </w:r>
      <w:r>
        <w:rPr>
          <w:spacing w:val="-4"/>
        </w:rPr>
        <w:t>disclosures </w:t>
      </w:r>
      <w:r>
        <w:rPr/>
        <w:t>in </w:t>
      </w:r>
      <w:r>
        <w:rPr>
          <w:spacing w:val="-3"/>
        </w:rPr>
        <w:t>the AFS. It </w:t>
      </w:r>
      <w:r>
        <w:rPr>
          <w:spacing w:val="-4"/>
        </w:rPr>
        <w:t>also includes </w:t>
      </w:r>
      <w:r>
        <w:rPr>
          <w:spacing w:val="-3"/>
        </w:rPr>
        <w:t>an </w:t>
      </w:r>
      <w:r>
        <w:rPr>
          <w:spacing w:val="-4"/>
        </w:rPr>
        <w:t>assessment </w:t>
      </w:r>
      <w:r>
        <w:rPr>
          <w:spacing w:val="-3"/>
        </w:rPr>
        <w:t>of the </w:t>
      </w:r>
      <w:r>
        <w:rPr>
          <w:spacing w:val="-4"/>
        </w:rPr>
        <w:t>significant estimates </w:t>
      </w:r>
      <w:r>
        <w:rPr>
          <w:spacing w:val="-3"/>
        </w:rPr>
        <w:t>and </w:t>
      </w:r>
      <w:r>
        <w:rPr>
          <w:spacing w:val="-4"/>
        </w:rPr>
        <w:t>judgements </w:t>
      </w:r>
      <w:r>
        <w:rPr>
          <w:spacing w:val="-3"/>
        </w:rPr>
        <w:t>made by </w:t>
      </w:r>
      <w:r>
        <w:rPr/>
        <w:t>the </w:t>
      </w:r>
      <w:r>
        <w:rPr>
          <w:spacing w:val="-3"/>
        </w:rPr>
        <w:t>Council’s </w:t>
      </w:r>
      <w:r>
        <w:rPr>
          <w:spacing w:val="-4"/>
        </w:rPr>
        <w:t>management </w:t>
      </w:r>
      <w:r>
        <w:rPr/>
        <w:t>in </w:t>
      </w:r>
      <w:r>
        <w:rPr>
          <w:spacing w:val="-3"/>
        </w:rPr>
        <w:t>the </w:t>
      </w:r>
      <w:r>
        <w:rPr>
          <w:spacing w:val="-4"/>
        </w:rPr>
        <w:t>preparation </w:t>
      </w:r>
      <w:r>
        <w:rPr>
          <w:spacing w:val="-3"/>
        </w:rPr>
        <w:t>of the AFS, </w:t>
      </w:r>
      <w:r>
        <w:rPr>
          <w:spacing w:val="-4"/>
        </w:rPr>
        <w:t>and </w:t>
      </w:r>
      <w:r>
        <w:rPr>
          <w:spacing w:val="-3"/>
        </w:rPr>
        <w:t>of whether the </w:t>
      </w:r>
      <w:r>
        <w:rPr>
          <w:spacing w:val="-4"/>
        </w:rPr>
        <w:t>accounting </w:t>
      </w:r>
      <w:r>
        <w:rPr>
          <w:spacing w:val="-3"/>
        </w:rPr>
        <w:t>policies are </w:t>
      </w:r>
      <w:r>
        <w:rPr>
          <w:spacing w:val="-4"/>
        </w:rPr>
        <w:t>appropriate </w:t>
      </w:r>
      <w:r>
        <w:rPr/>
        <w:t>to </w:t>
      </w:r>
      <w:r>
        <w:rPr>
          <w:spacing w:val="-3"/>
        </w:rPr>
        <w:t>the Council's </w:t>
      </w:r>
      <w:r>
        <w:rPr>
          <w:spacing w:val="-4"/>
        </w:rPr>
        <w:t>circumstances, consistently applied </w:t>
      </w:r>
      <w:r>
        <w:rPr>
          <w:spacing w:val="-3"/>
        </w:rPr>
        <w:t>and </w:t>
      </w:r>
      <w:r>
        <w:rPr>
          <w:spacing w:val="-4"/>
        </w:rPr>
        <w:t>adequately disclosed.</w:t>
      </w:r>
    </w:p>
    <w:p>
      <w:pPr>
        <w:pStyle w:val="BodyText"/>
        <w:spacing w:before="10"/>
        <w:rPr>
          <w:sz w:val="21"/>
        </w:rPr>
      </w:pPr>
    </w:p>
    <w:p>
      <w:pPr>
        <w:pStyle w:val="BodyText"/>
        <w:ind w:left="838" w:right="308"/>
      </w:pPr>
      <w:r>
        <w:rPr/>
        <w:t>I </w:t>
      </w:r>
      <w:r>
        <w:rPr>
          <w:spacing w:val="-4"/>
        </w:rPr>
        <w:t>planned </w:t>
      </w:r>
      <w:r>
        <w:rPr>
          <w:spacing w:val="-3"/>
        </w:rPr>
        <w:t>and </w:t>
      </w:r>
      <w:r>
        <w:rPr>
          <w:spacing w:val="-4"/>
        </w:rPr>
        <w:t>performed </w:t>
      </w:r>
      <w:r>
        <w:rPr/>
        <w:t>my </w:t>
      </w:r>
      <w:r>
        <w:rPr>
          <w:spacing w:val="-3"/>
        </w:rPr>
        <w:t>audit so as </w:t>
      </w:r>
      <w:r>
        <w:rPr/>
        <w:t>to </w:t>
      </w:r>
      <w:r>
        <w:rPr>
          <w:spacing w:val="-3"/>
        </w:rPr>
        <w:t>obtain all the </w:t>
      </w:r>
      <w:r>
        <w:rPr>
          <w:spacing w:val="-4"/>
        </w:rPr>
        <w:t>information </w:t>
      </w:r>
      <w:r>
        <w:rPr>
          <w:spacing w:val="-3"/>
        </w:rPr>
        <w:t>and </w:t>
      </w:r>
      <w:r>
        <w:rPr>
          <w:spacing w:val="-4"/>
        </w:rPr>
        <w:t>explanations, which </w:t>
      </w:r>
      <w:r>
        <w:rPr/>
        <w:t>I </w:t>
      </w:r>
      <w:r>
        <w:rPr>
          <w:spacing w:val="-4"/>
        </w:rPr>
        <w:t>considered necessary </w:t>
      </w:r>
      <w:r>
        <w:rPr/>
        <w:t>to </w:t>
      </w:r>
      <w:r>
        <w:rPr>
          <w:spacing w:val="-3"/>
        </w:rPr>
        <w:t>provide </w:t>
      </w:r>
      <w:r>
        <w:rPr>
          <w:spacing w:val="-4"/>
        </w:rPr>
        <w:t>sufficient evidence </w:t>
      </w:r>
      <w:r>
        <w:rPr/>
        <w:t>to </w:t>
      </w:r>
      <w:r>
        <w:rPr>
          <w:spacing w:val="-3"/>
        </w:rPr>
        <w:t>give </w:t>
      </w:r>
      <w:r>
        <w:rPr>
          <w:spacing w:val="-4"/>
        </w:rPr>
        <w:t>reasonable assurance that </w:t>
      </w:r>
      <w:r>
        <w:rPr>
          <w:spacing w:val="-3"/>
        </w:rPr>
        <w:t>the </w:t>
      </w:r>
      <w:r>
        <w:rPr>
          <w:spacing w:val="-4"/>
        </w:rPr>
        <w:t>financial statement </w:t>
      </w:r>
      <w:r>
        <w:rPr/>
        <w:t>is </w:t>
      </w:r>
      <w:r>
        <w:rPr>
          <w:spacing w:val="-4"/>
        </w:rPr>
        <w:t>free from material misstatement, whether caused </w:t>
      </w:r>
      <w:r>
        <w:rPr>
          <w:spacing w:val="-3"/>
        </w:rPr>
        <w:t>by fraud </w:t>
      </w:r>
      <w:r>
        <w:rPr/>
        <w:t>or </w:t>
      </w:r>
      <w:r>
        <w:rPr>
          <w:spacing w:val="-4"/>
        </w:rPr>
        <w:t>error.</w:t>
      </w:r>
    </w:p>
    <w:p>
      <w:pPr>
        <w:pStyle w:val="BodyText"/>
        <w:spacing w:before="10"/>
        <w:rPr>
          <w:sz w:val="21"/>
        </w:rPr>
      </w:pPr>
    </w:p>
    <w:p>
      <w:pPr>
        <w:pStyle w:val="BodyText"/>
        <w:tabs>
          <w:tab w:pos="837" w:val="left" w:leader="none"/>
        </w:tabs>
        <w:ind w:left="838" w:right="355" w:hanging="720"/>
      </w:pPr>
      <w:r>
        <w:rPr>
          <w:b/>
          <w:spacing w:val="-3"/>
        </w:rPr>
        <w:t>1.2</w:t>
        <w:tab/>
      </w:r>
      <w:r>
        <w:rPr>
          <w:spacing w:val="-3"/>
        </w:rPr>
        <w:t>This </w:t>
      </w:r>
      <w:r>
        <w:rPr>
          <w:spacing w:val="-4"/>
        </w:rPr>
        <w:t>report </w:t>
      </w:r>
      <w:r>
        <w:rPr/>
        <w:t>is </w:t>
      </w:r>
      <w:r>
        <w:rPr>
          <w:spacing w:val="-4"/>
        </w:rPr>
        <w:t>prepared </w:t>
      </w:r>
      <w:r>
        <w:rPr/>
        <w:t>in </w:t>
      </w:r>
      <w:r>
        <w:rPr>
          <w:spacing w:val="-4"/>
        </w:rPr>
        <w:t>accordance </w:t>
      </w:r>
      <w:r>
        <w:rPr>
          <w:spacing w:val="-3"/>
        </w:rPr>
        <w:t>with </w:t>
      </w:r>
      <w:r>
        <w:rPr>
          <w:spacing w:val="-4"/>
        </w:rPr>
        <w:t>Section 120(1)(c) </w:t>
      </w:r>
      <w:r>
        <w:rPr>
          <w:spacing w:val="-3"/>
        </w:rPr>
        <w:t>of the </w:t>
      </w:r>
      <w:r>
        <w:rPr>
          <w:spacing w:val="-4"/>
        </w:rPr>
        <w:t>Local Government</w:t>
      </w:r>
      <w:r>
        <w:rPr>
          <w:spacing w:val="6"/>
        </w:rPr>
        <w:t> </w:t>
      </w:r>
      <w:r>
        <w:rPr>
          <w:spacing w:val="-3"/>
        </w:rPr>
        <w:t>Act,</w:t>
      </w:r>
      <w:r>
        <w:rPr>
          <w:spacing w:val="-1"/>
        </w:rPr>
        <w:t> </w:t>
      </w:r>
      <w:r>
        <w:rPr>
          <w:spacing w:val="-4"/>
        </w:rPr>
        <w:t>2001</w:t>
      </w:r>
      <w:r>
        <w:rPr>
          <w:w w:val="100"/>
        </w:rPr>
        <w:t> </w:t>
      </w:r>
      <w:r>
        <w:rPr>
          <w:spacing w:val="-3"/>
        </w:rPr>
        <w:t>and </w:t>
      </w:r>
      <w:r>
        <w:rPr>
          <w:spacing w:val="-4"/>
        </w:rPr>
        <w:t>should </w:t>
      </w:r>
      <w:r>
        <w:rPr>
          <w:spacing w:val="-3"/>
        </w:rPr>
        <w:t>be </w:t>
      </w:r>
      <w:r>
        <w:rPr>
          <w:spacing w:val="-4"/>
        </w:rPr>
        <w:t>read </w:t>
      </w:r>
      <w:r>
        <w:rPr/>
        <w:t>in </w:t>
      </w:r>
      <w:r>
        <w:rPr>
          <w:spacing w:val="-4"/>
        </w:rPr>
        <w:t>conjunction </w:t>
      </w:r>
      <w:r>
        <w:rPr>
          <w:spacing w:val="-3"/>
        </w:rPr>
        <w:t>with the </w:t>
      </w:r>
      <w:r>
        <w:rPr>
          <w:spacing w:val="-4"/>
        </w:rPr>
        <w:t>audited</w:t>
      </w:r>
      <w:r>
        <w:rPr>
          <w:spacing w:val="1"/>
        </w:rPr>
        <w:t> </w:t>
      </w:r>
      <w:r>
        <w:rPr>
          <w:spacing w:val="-3"/>
        </w:rPr>
        <w:t>AFS.</w:t>
      </w:r>
    </w:p>
    <w:p>
      <w:pPr>
        <w:pStyle w:val="BodyText"/>
        <w:spacing w:before="1"/>
      </w:pPr>
    </w:p>
    <w:p>
      <w:pPr>
        <w:pStyle w:val="Heading2"/>
        <w:numPr>
          <w:ilvl w:val="0"/>
          <w:numId w:val="1"/>
        </w:numPr>
        <w:tabs>
          <w:tab w:pos="838" w:val="left" w:leader="none"/>
        </w:tabs>
        <w:spacing w:line="240" w:lineRule="auto" w:before="0" w:after="0"/>
        <w:ind w:left="838" w:right="0" w:hanging="720"/>
        <w:jc w:val="left"/>
      </w:pPr>
      <w:r>
        <w:rPr>
          <w:spacing w:val="-4"/>
        </w:rPr>
        <w:t>Financial</w:t>
      </w:r>
      <w:r>
        <w:rPr>
          <w:spacing w:val="11"/>
        </w:rPr>
        <w:t> </w:t>
      </w:r>
      <w:r>
        <w:rPr>
          <w:spacing w:val="-4"/>
        </w:rPr>
        <w:t>Standing</w:t>
      </w:r>
    </w:p>
    <w:p>
      <w:pPr>
        <w:pStyle w:val="BodyText"/>
        <w:spacing w:before="1"/>
        <w:rPr>
          <w:b/>
        </w:rPr>
      </w:pPr>
    </w:p>
    <w:p>
      <w:pPr>
        <w:pStyle w:val="BodyText"/>
        <w:ind w:left="826" w:right="144"/>
        <w:jc w:val="both"/>
      </w:pPr>
      <w:r>
        <w:rPr/>
        <w:t>The Council recorded a small surplus for the year after transfers to reserves of €3.769m. There was a surplus of €1.743m in the general revenue balance at the end of 2015. Both transfers to reserves and over expenditure were approved by the Council at its meeting in April 2016.</w:t>
      </w:r>
    </w:p>
    <w:p>
      <w:pPr>
        <w:pStyle w:val="BodyText"/>
        <w:spacing w:line="480" w:lineRule="auto"/>
        <w:ind w:left="826" w:right="1495"/>
      </w:pPr>
      <w:r>
        <w:rPr/>
        <w:t>Details of over/under expenditure are contained in note 16 to the AFS. Significant movements in the finances of the Council during the year included:</w:t>
      </w:r>
    </w:p>
    <w:p>
      <w:pPr>
        <w:pStyle w:val="ListParagraph"/>
        <w:numPr>
          <w:ilvl w:val="1"/>
          <w:numId w:val="1"/>
        </w:numPr>
        <w:tabs>
          <w:tab w:pos="1546" w:val="left" w:leader="none"/>
        </w:tabs>
        <w:spacing w:line="269" w:lineRule="exact" w:before="16" w:after="0"/>
        <w:ind w:left="1546" w:right="0" w:hanging="360"/>
        <w:jc w:val="left"/>
        <w:rPr>
          <w:sz w:val="22"/>
        </w:rPr>
      </w:pPr>
      <w:r>
        <w:rPr>
          <w:sz w:val="22"/>
        </w:rPr>
        <w:t>Increase in fixed assets of</w:t>
      </w:r>
      <w:r>
        <w:rPr>
          <w:spacing w:val="-12"/>
          <w:sz w:val="22"/>
        </w:rPr>
        <w:t> </w:t>
      </w:r>
      <w:r>
        <w:rPr>
          <w:sz w:val="22"/>
        </w:rPr>
        <w:t>€11.9m</w:t>
      </w:r>
    </w:p>
    <w:p>
      <w:pPr>
        <w:pStyle w:val="ListParagraph"/>
        <w:numPr>
          <w:ilvl w:val="1"/>
          <w:numId w:val="1"/>
        </w:numPr>
        <w:tabs>
          <w:tab w:pos="1546" w:val="left" w:leader="none"/>
        </w:tabs>
        <w:spacing w:line="268" w:lineRule="exact" w:before="0" w:after="0"/>
        <w:ind w:left="1546" w:right="0" w:hanging="360"/>
        <w:jc w:val="left"/>
        <w:rPr>
          <w:sz w:val="22"/>
        </w:rPr>
      </w:pPr>
      <w:r>
        <w:rPr>
          <w:sz w:val="22"/>
        </w:rPr>
        <w:t>Decrease in net trade debtors and prepayments of</w:t>
      </w:r>
      <w:r>
        <w:rPr>
          <w:spacing w:val="-17"/>
          <w:sz w:val="22"/>
        </w:rPr>
        <w:t> </w:t>
      </w:r>
      <w:r>
        <w:rPr>
          <w:sz w:val="22"/>
        </w:rPr>
        <w:t>€10.4m</w:t>
      </w:r>
    </w:p>
    <w:p>
      <w:pPr>
        <w:pStyle w:val="ListParagraph"/>
        <w:numPr>
          <w:ilvl w:val="1"/>
          <w:numId w:val="1"/>
        </w:numPr>
        <w:tabs>
          <w:tab w:pos="1546" w:val="left" w:leader="none"/>
        </w:tabs>
        <w:spacing w:line="268" w:lineRule="exact" w:before="0" w:after="0"/>
        <w:ind w:left="1546" w:right="0" w:hanging="360"/>
        <w:jc w:val="left"/>
        <w:rPr>
          <w:sz w:val="22"/>
        </w:rPr>
      </w:pPr>
      <w:r>
        <w:rPr>
          <w:sz w:val="22"/>
        </w:rPr>
        <w:t>Decrease in net creditors and accruals of</w:t>
      </w:r>
      <w:r>
        <w:rPr>
          <w:spacing w:val="-15"/>
          <w:sz w:val="22"/>
        </w:rPr>
        <w:t> </w:t>
      </w:r>
      <w:r>
        <w:rPr>
          <w:sz w:val="22"/>
        </w:rPr>
        <w:t>€5.2m</w:t>
      </w:r>
    </w:p>
    <w:p>
      <w:pPr>
        <w:pStyle w:val="ListParagraph"/>
        <w:numPr>
          <w:ilvl w:val="1"/>
          <w:numId w:val="1"/>
        </w:numPr>
        <w:tabs>
          <w:tab w:pos="1546" w:val="left" w:leader="none"/>
        </w:tabs>
        <w:spacing w:line="269" w:lineRule="exact" w:before="0" w:after="0"/>
        <w:ind w:left="1546" w:right="0" w:hanging="360"/>
        <w:jc w:val="left"/>
        <w:rPr>
          <w:sz w:val="22"/>
        </w:rPr>
      </w:pPr>
      <w:r>
        <w:rPr>
          <w:sz w:val="22"/>
        </w:rPr>
        <w:t>Increase in bank investments of</w:t>
      </w:r>
      <w:r>
        <w:rPr>
          <w:spacing w:val="-12"/>
          <w:sz w:val="22"/>
        </w:rPr>
        <w:t> </w:t>
      </w:r>
      <w:r>
        <w:rPr>
          <w:sz w:val="22"/>
        </w:rPr>
        <w:t>€4m</w:t>
      </w:r>
    </w:p>
    <w:p>
      <w:pPr>
        <w:pStyle w:val="BodyText"/>
        <w:spacing w:before="5"/>
        <w:rPr>
          <w:sz w:val="20"/>
        </w:rPr>
      </w:pPr>
    </w:p>
    <w:p>
      <w:pPr>
        <w:pStyle w:val="BodyText"/>
        <w:ind w:left="838" w:right="279"/>
      </w:pPr>
      <w:r>
        <w:rPr/>
        <w:t>The increase in fixed assets included the purchase of a multi story car park for €6.7m and additions to housing stock at a cost of €2.7m.The decrease in net trade debtors and creditors and the increase in bank investments are due to the recoupment/redemption of loans associated with the transfer of functions to Irish Water (IW) in 2014.</w:t>
      </w:r>
    </w:p>
    <w:p>
      <w:pPr>
        <w:spacing w:after="0"/>
        <w:sectPr>
          <w:footerReference w:type="default" r:id="rId7"/>
          <w:pgSz w:w="11910" w:h="16840"/>
          <w:pgMar w:footer="426" w:header="0" w:top="1340" w:bottom="620" w:left="1680" w:right="1680"/>
          <w:pgNumType w:start="1"/>
        </w:sectPr>
      </w:pPr>
    </w:p>
    <w:p>
      <w:pPr>
        <w:pStyle w:val="BodyText"/>
        <w:rPr>
          <w:sz w:val="16"/>
        </w:rPr>
      </w:pPr>
    </w:p>
    <w:p>
      <w:pPr>
        <w:pStyle w:val="BodyText"/>
        <w:spacing w:before="74"/>
        <w:ind w:left="838" w:right="620"/>
      </w:pPr>
      <w:r>
        <w:rPr/>
        <w:t>The position outlined above is as reflected in the annual financial statement for 2015 and shows that the Council is in a sound financial state.</w:t>
      </w:r>
    </w:p>
    <w:p>
      <w:pPr>
        <w:pStyle w:val="BodyText"/>
        <w:spacing w:before="1"/>
      </w:pPr>
    </w:p>
    <w:p>
      <w:pPr>
        <w:pStyle w:val="Heading2"/>
        <w:numPr>
          <w:ilvl w:val="0"/>
          <w:numId w:val="2"/>
        </w:numPr>
        <w:tabs>
          <w:tab w:pos="838" w:val="left" w:leader="none"/>
        </w:tabs>
        <w:spacing w:line="240" w:lineRule="auto" w:before="0" w:after="0"/>
        <w:ind w:left="838" w:right="0" w:hanging="720"/>
        <w:jc w:val="left"/>
      </w:pPr>
      <w:r>
        <w:rPr>
          <w:spacing w:val="-3"/>
        </w:rPr>
        <w:t>Income</w:t>
      </w:r>
      <w:r>
        <w:rPr>
          <w:spacing w:val="2"/>
        </w:rPr>
        <w:t> </w:t>
      </w:r>
      <w:r>
        <w:rPr>
          <w:spacing w:val="-4"/>
        </w:rPr>
        <w:t>Collection</w:t>
      </w:r>
    </w:p>
    <w:p>
      <w:pPr>
        <w:pStyle w:val="BodyText"/>
        <w:spacing w:before="10"/>
        <w:rPr>
          <w:b/>
          <w:sz w:val="21"/>
        </w:rPr>
      </w:pPr>
    </w:p>
    <w:p>
      <w:pPr>
        <w:pStyle w:val="ListParagraph"/>
        <w:numPr>
          <w:ilvl w:val="1"/>
          <w:numId w:val="2"/>
        </w:numPr>
        <w:tabs>
          <w:tab w:pos="838" w:val="left" w:leader="none"/>
        </w:tabs>
        <w:spacing w:line="240" w:lineRule="auto" w:before="0" w:after="0"/>
        <w:ind w:left="838" w:right="0" w:hanging="720"/>
        <w:jc w:val="left"/>
        <w:rPr>
          <w:b/>
          <w:sz w:val="22"/>
        </w:rPr>
      </w:pPr>
      <w:r>
        <w:rPr>
          <w:b/>
          <w:spacing w:val="-4"/>
          <w:sz w:val="22"/>
        </w:rPr>
        <w:t>Summary </w:t>
      </w:r>
      <w:r>
        <w:rPr>
          <w:b/>
          <w:sz w:val="22"/>
        </w:rPr>
        <w:t>of </w:t>
      </w:r>
      <w:r>
        <w:rPr>
          <w:b/>
          <w:spacing w:val="-4"/>
          <w:sz w:val="22"/>
        </w:rPr>
        <w:t>Collection</w:t>
      </w:r>
      <w:r>
        <w:rPr>
          <w:b/>
          <w:spacing w:val="5"/>
          <w:sz w:val="22"/>
        </w:rPr>
        <w:t> </w:t>
      </w:r>
      <w:r>
        <w:rPr>
          <w:b/>
          <w:spacing w:val="-4"/>
          <w:sz w:val="22"/>
        </w:rPr>
        <w:t>Accounts</w:t>
      </w:r>
    </w:p>
    <w:p>
      <w:pPr>
        <w:pStyle w:val="BodyText"/>
        <w:spacing w:before="10"/>
        <w:rPr>
          <w:b/>
          <w:sz w:val="21"/>
        </w:rPr>
      </w:pPr>
    </w:p>
    <w:p>
      <w:pPr>
        <w:pStyle w:val="BodyText"/>
        <w:ind w:left="838"/>
      </w:pPr>
      <w:r>
        <w:rPr>
          <w:spacing w:val="-3"/>
        </w:rPr>
        <w:t>Details of </w:t>
      </w:r>
      <w:r>
        <w:rPr>
          <w:spacing w:val="-4"/>
        </w:rPr>
        <w:t>collection yields from </w:t>
      </w:r>
      <w:r>
        <w:rPr>
          <w:spacing w:val="-3"/>
        </w:rPr>
        <w:t>the main </w:t>
      </w:r>
      <w:r>
        <w:rPr>
          <w:spacing w:val="-4"/>
        </w:rPr>
        <w:t>revenue collection accounts </w:t>
      </w:r>
      <w:r>
        <w:rPr>
          <w:spacing w:val="-3"/>
        </w:rPr>
        <w:t>for </w:t>
      </w:r>
      <w:r>
        <w:rPr>
          <w:spacing w:val="-4"/>
        </w:rPr>
        <w:t>2015 </w:t>
      </w:r>
      <w:r>
        <w:rPr>
          <w:spacing w:val="-3"/>
        </w:rPr>
        <w:t>with </w:t>
      </w:r>
      <w:r>
        <w:rPr>
          <w:spacing w:val="-4"/>
        </w:rPr>
        <w:t>comparative percentages </w:t>
      </w:r>
      <w:r>
        <w:rPr/>
        <w:t>for </w:t>
      </w:r>
      <w:r>
        <w:rPr>
          <w:spacing w:val="-3"/>
        </w:rPr>
        <w:t>the </w:t>
      </w:r>
      <w:r>
        <w:rPr>
          <w:spacing w:val="-4"/>
        </w:rPr>
        <w:t>previous year </w:t>
      </w:r>
      <w:r>
        <w:rPr>
          <w:spacing w:val="-3"/>
        </w:rPr>
        <w:t>were as </w:t>
      </w:r>
      <w:r>
        <w:rPr>
          <w:spacing w:val="-4"/>
        </w:rPr>
        <w:t>follows:</w:t>
      </w:r>
    </w:p>
    <w:p>
      <w:pPr>
        <w:pStyle w:val="BodyText"/>
        <w:spacing w:before="11"/>
        <w:rPr>
          <w:sz w:val="28"/>
        </w:rPr>
      </w:pPr>
    </w:p>
    <w:tbl>
      <w:tblPr>
        <w:tblW w:w="0" w:type="auto"/>
        <w:jc w:val="left"/>
        <w:tblInd w:w="1300"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728"/>
        <w:gridCol w:w="950"/>
        <w:gridCol w:w="725"/>
        <w:gridCol w:w="1477"/>
      </w:tblGrid>
      <w:tr>
        <w:trPr>
          <w:trHeight w:val="275" w:hRule="exact"/>
        </w:trPr>
        <w:tc>
          <w:tcPr>
            <w:tcW w:w="2728" w:type="dxa"/>
          </w:tcPr>
          <w:p>
            <w:pPr/>
          </w:p>
        </w:tc>
        <w:tc>
          <w:tcPr>
            <w:tcW w:w="950" w:type="dxa"/>
          </w:tcPr>
          <w:p>
            <w:pPr>
              <w:pStyle w:val="TableParagraph"/>
              <w:spacing w:line="227" w:lineRule="exact" w:before="0"/>
              <w:ind w:right="183"/>
              <w:rPr>
                <w:b/>
                <w:sz w:val="22"/>
              </w:rPr>
            </w:pPr>
            <w:r>
              <w:rPr>
                <w:b/>
                <w:sz w:val="22"/>
              </w:rPr>
              <w:t>2015</w:t>
            </w:r>
          </w:p>
        </w:tc>
        <w:tc>
          <w:tcPr>
            <w:tcW w:w="725" w:type="dxa"/>
          </w:tcPr>
          <w:p>
            <w:pPr>
              <w:pStyle w:val="TableParagraph"/>
              <w:spacing w:line="227" w:lineRule="exact" w:before="0"/>
              <w:ind w:right="137"/>
              <w:rPr>
                <w:b/>
                <w:sz w:val="22"/>
              </w:rPr>
            </w:pPr>
            <w:r>
              <w:rPr>
                <w:b/>
                <w:sz w:val="22"/>
              </w:rPr>
              <w:t>2014</w:t>
            </w:r>
          </w:p>
        </w:tc>
        <w:tc>
          <w:tcPr>
            <w:tcW w:w="1477" w:type="dxa"/>
          </w:tcPr>
          <w:p>
            <w:pPr/>
          </w:p>
        </w:tc>
      </w:tr>
      <w:tr>
        <w:trPr>
          <w:trHeight w:val="495" w:hRule="exact"/>
        </w:trPr>
        <w:tc>
          <w:tcPr>
            <w:tcW w:w="2728" w:type="dxa"/>
          </w:tcPr>
          <w:p>
            <w:pPr>
              <w:pStyle w:val="TableParagraph"/>
              <w:spacing w:before="28"/>
              <w:ind w:left="200"/>
              <w:jc w:val="left"/>
              <w:rPr>
                <w:sz w:val="22"/>
              </w:rPr>
            </w:pPr>
            <w:r>
              <w:rPr>
                <w:sz w:val="22"/>
              </w:rPr>
              <w:t>Rates</w:t>
            </w:r>
          </w:p>
        </w:tc>
        <w:tc>
          <w:tcPr>
            <w:tcW w:w="950" w:type="dxa"/>
          </w:tcPr>
          <w:p>
            <w:pPr>
              <w:pStyle w:val="TableParagraph"/>
              <w:spacing w:before="28"/>
              <w:ind w:right="201"/>
              <w:rPr>
                <w:sz w:val="22"/>
              </w:rPr>
            </w:pPr>
            <w:r>
              <w:rPr>
                <w:sz w:val="22"/>
              </w:rPr>
              <w:t>82%</w:t>
            </w:r>
          </w:p>
        </w:tc>
        <w:tc>
          <w:tcPr>
            <w:tcW w:w="725" w:type="dxa"/>
          </w:tcPr>
          <w:p>
            <w:pPr>
              <w:pStyle w:val="TableParagraph"/>
              <w:spacing w:before="28"/>
              <w:ind w:right="156"/>
              <w:rPr>
                <w:sz w:val="22"/>
              </w:rPr>
            </w:pPr>
            <w:r>
              <w:rPr>
                <w:sz w:val="22"/>
              </w:rPr>
              <w:t>76%</w:t>
            </w:r>
          </w:p>
        </w:tc>
        <w:tc>
          <w:tcPr>
            <w:tcW w:w="1477" w:type="dxa"/>
          </w:tcPr>
          <w:p>
            <w:pPr>
              <w:pStyle w:val="TableParagraph"/>
              <w:spacing w:before="49"/>
              <w:ind w:left="158"/>
              <w:jc w:val="left"/>
              <w:rPr>
                <w:rFonts w:ascii="Arial"/>
                <w:sz w:val="20"/>
              </w:rPr>
            </w:pPr>
            <w:r>
              <w:rPr>
                <w:rFonts w:ascii="Arial"/>
                <w:sz w:val="20"/>
              </w:rPr>
              <w:t>(as restated)</w:t>
            </w:r>
          </w:p>
        </w:tc>
      </w:tr>
      <w:tr>
        <w:trPr>
          <w:trHeight w:val="660" w:hRule="exact"/>
        </w:trPr>
        <w:tc>
          <w:tcPr>
            <w:tcW w:w="2728" w:type="dxa"/>
          </w:tcPr>
          <w:p>
            <w:pPr>
              <w:pStyle w:val="TableParagraph"/>
              <w:ind w:left="200"/>
              <w:jc w:val="left"/>
              <w:rPr>
                <w:sz w:val="22"/>
              </w:rPr>
            </w:pPr>
            <w:r>
              <w:rPr>
                <w:sz w:val="22"/>
              </w:rPr>
              <w:t>Housing Rents &amp; Annuities</w:t>
            </w:r>
          </w:p>
        </w:tc>
        <w:tc>
          <w:tcPr>
            <w:tcW w:w="950" w:type="dxa"/>
          </w:tcPr>
          <w:p>
            <w:pPr>
              <w:pStyle w:val="TableParagraph"/>
              <w:ind w:right="201"/>
              <w:rPr>
                <w:sz w:val="22"/>
              </w:rPr>
            </w:pPr>
            <w:r>
              <w:rPr>
                <w:sz w:val="22"/>
              </w:rPr>
              <w:t>84%</w:t>
            </w:r>
          </w:p>
        </w:tc>
        <w:tc>
          <w:tcPr>
            <w:tcW w:w="725" w:type="dxa"/>
          </w:tcPr>
          <w:p>
            <w:pPr>
              <w:pStyle w:val="TableParagraph"/>
              <w:ind w:right="156"/>
              <w:rPr>
                <w:sz w:val="22"/>
              </w:rPr>
            </w:pPr>
            <w:r>
              <w:rPr>
                <w:sz w:val="22"/>
              </w:rPr>
              <w:t>83%</w:t>
            </w:r>
          </w:p>
        </w:tc>
        <w:tc>
          <w:tcPr>
            <w:tcW w:w="1477" w:type="dxa"/>
          </w:tcPr>
          <w:p>
            <w:pPr/>
          </w:p>
        </w:tc>
      </w:tr>
      <w:tr>
        <w:trPr>
          <w:trHeight w:val="440" w:hRule="exact"/>
        </w:trPr>
        <w:tc>
          <w:tcPr>
            <w:tcW w:w="2728" w:type="dxa"/>
          </w:tcPr>
          <w:p>
            <w:pPr>
              <w:pStyle w:val="TableParagraph"/>
              <w:ind w:left="200"/>
              <w:jc w:val="left"/>
              <w:rPr>
                <w:sz w:val="22"/>
              </w:rPr>
            </w:pPr>
            <w:r>
              <w:rPr>
                <w:sz w:val="22"/>
              </w:rPr>
              <w:t>Housing Loans</w:t>
            </w:r>
          </w:p>
        </w:tc>
        <w:tc>
          <w:tcPr>
            <w:tcW w:w="950" w:type="dxa"/>
          </w:tcPr>
          <w:p>
            <w:pPr>
              <w:pStyle w:val="TableParagraph"/>
              <w:ind w:right="201"/>
              <w:rPr>
                <w:sz w:val="22"/>
              </w:rPr>
            </w:pPr>
            <w:r>
              <w:rPr>
                <w:sz w:val="22"/>
              </w:rPr>
              <w:t>73%</w:t>
            </w:r>
          </w:p>
        </w:tc>
        <w:tc>
          <w:tcPr>
            <w:tcW w:w="725" w:type="dxa"/>
          </w:tcPr>
          <w:p>
            <w:pPr>
              <w:pStyle w:val="TableParagraph"/>
              <w:ind w:right="156"/>
              <w:rPr>
                <w:sz w:val="22"/>
              </w:rPr>
            </w:pPr>
            <w:r>
              <w:rPr>
                <w:sz w:val="22"/>
              </w:rPr>
              <w:t>67%</w:t>
            </w:r>
          </w:p>
        </w:tc>
        <w:tc>
          <w:tcPr>
            <w:tcW w:w="1477" w:type="dxa"/>
          </w:tcPr>
          <w:p>
            <w:pPr/>
          </w:p>
        </w:tc>
      </w:tr>
    </w:tbl>
    <w:p>
      <w:pPr>
        <w:pStyle w:val="BodyText"/>
        <w:rPr>
          <w:sz w:val="14"/>
        </w:rPr>
      </w:pPr>
    </w:p>
    <w:p>
      <w:pPr>
        <w:pStyle w:val="BodyText"/>
        <w:spacing w:before="75"/>
        <w:ind w:left="838" w:right="116"/>
      </w:pPr>
      <w:r>
        <w:rPr>
          <w:spacing w:val="-3"/>
        </w:rPr>
        <w:t>The </w:t>
      </w:r>
      <w:r>
        <w:rPr>
          <w:spacing w:val="-4"/>
        </w:rPr>
        <w:t>methodology </w:t>
      </w:r>
      <w:r>
        <w:rPr/>
        <w:t>for </w:t>
      </w:r>
      <w:r>
        <w:rPr>
          <w:spacing w:val="-4"/>
        </w:rPr>
        <w:t>calculating rates yields </w:t>
      </w:r>
      <w:r>
        <w:rPr>
          <w:spacing w:val="-3"/>
        </w:rPr>
        <w:t>was </w:t>
      </w:r>
      <w:r>
        <w:rPr>
          <w:spacing w:val="-4"/>
        </w:rPr>
        <w:t>amended </w:t>
      </w:r>
      <w:r>
        <w:rPr/>
        <w:t>in </w:t>
      </w:r>
      <w:r>
        <w:rPr>
          <w:spacing w:val="-4"/>
        </w:rPr>
        <w:t>2015 </w:t>
      </w:r>
      <w:r>
        <w:rPr>
          <w:spacing w:val="-3"/>
        </w:rPr>
        <w:t>after </w:t>
      </w:r>
      <w:r>
        <w:rPr>
          <w:spacing w:val="-4"/>
        </w:rPr>
        <w:t>allowing </w:t>
      </w:r>
      <w:r>
        <w:rPr>
          <w:spacing w:val="-3"/>
        </w:rPr>
        <w:t>specific </w:t>
      </w:r>
      <w:r>
        <w:rPr>
          <w:spacing w:val="-4"/>
        </w:rPr>
        <w:t>doubtful arrears </w:t>
      </w:r>
      <w:r>
        <w:rPr/>
        <w:t>to be </w:t>
      </w:r>
      <w:r>
        <w:rPr>
          <w:spacing w:val="-4"/>
        </w:rPr>
        <w:t>excluded from </w:t>
      </w:r>
      <w:r>
        <w:rPr>
          <w:spacing w:val="-3"/>
        </w:rPr>
        <w:t>the total for </w:t>
      </w:r>
      <w:r>
        <w:rPr>
          <w:spacing w:val="-4"/>
        </w:rPr>
        <w:t>collection figure. </w:t>
      </w:r>
      <w:r>
        <w:rPr>
          <w:spacing w:val="-3"/>
        </w:rPr>
        <w:t>The specific </w:t>
      </w:r>
      <w:r>
        <w:rPr>
          <w:spacing w:val="-4"/>
        </w:rPr>
        <w:t>doubtful arrears which </w:t>
      </w:r>
      <w:r>
        <w:rPr/>
        <w:t>are </w:t>
      </w:r>
      <w:r>
        <w:rPr>
          <w:spacing w:val="-4"/>
        </w:rPr>
        <w:t>excluded </w:t>
      </w:r>
      <w:r>
        <w:rPr>
          <w:spacing w:val="-3"/>
        </w:rPr>
        <w:t>are set </w:t>
      </w:r>
      <w:r>
        <w:rPr>
          <w:spacing w:val="-4"/>
        </w:rPr>
        <w:t>out </w:t>
      </w:r>
      <w:r>
        <w:rPr/>
        <w:t>in </w:t>
      </w:r>
      <w:r>
        <w:rPr>
          <w:spacing w:val="-4"/>
        </w:rPr>
        <w:t>Appendix </w:t>
      </w:r>
      <w:r>
        <w:rPr/>
        <w:t>7 to </w:t>
      </w:r>
      <w:r>
        <w:rPr>
          <w:spacing w:val="-3"/>
        </w:rPr>
        <w:t>the AFS. The </w:t>
      </w:r>
      <w:r>
        <w:rPr>
          <w:spacing w:val="-4"/>
        </w:rPr>
        <w:t>2014 collection </w:t>
      </w:r>
      <w:r>
        <w:rPr>
          <w:spacing w:val="-3"/>
        </w:rPr>
        <w:t>yield </w:t>
      </w:r>
      <w:r>
        <w:rPr/>
        <w:t>is </w:t>
      </w:r>
      <w:r>
        <w:rPr>
          <w:spacing w:val="-4"/>
        </w:rPr>
        <w:t>restated </w:t>
      </w:r>
      <w:r>
        <w:rPr/>
        <w:t>for </w:t>
      </w:r>
      <w:r>
        <w:rPr>
          <w:spacing w:val="-4"/>
        </w:rPr>
        <w:t>comparison purposes.</w:t>
      </w:r>
    </w:p>
    <w:p>
      <w:pPr>
        <w:pStyle w:val="BodyText"/>
        <w:spacing w:before="10"/>
        <w:rPr>
          <w:sz w:val="21"/>
        </w:rPr>
      </w:pPr>
    </w:p>
    <w:p>
      <w:pPr>
        <w:pStyle w:val="Heading2"/>
        <w:numPr>
          <w:ilvl w:val="1"/>
          <w:numId w:val="2"/>
        </w:numPr>
        <w:tabs>
          <w:tab w:pos="838" w:val="left" w:leader="none"/>
        </w:tabs>
        <w:spacing w:line="240" w:lineRule="auto" w:before="0" w:after="0"/>
        <w:ind w:left="838" w:right="0" w:hanging="720"/>
        <w:jc w:val="left"/>
      </w:pPr>
      <w:r>
        <w:rPr>
          <w:spacing w:val="-3"/>
        </w:rPr>
        <w:t>Rents and</w:t>
      </w:r>
      <w:r>
        <w:rPr>
          <w:spacing w:val="1"/>
        </w:rPr>
        <w:t> </w:t>
      </w:r>
      <w:r>
        <w:rPr>
          <w:spacing w:val="-4"/>
        </w:rPr>
        <w:t>Annuities</w:t>
      </w:r>
    </w:p>
    <w:p>
      <w:pPr>
        <w:pStyle w:val="BodyText"/>
        <w:spacing w:before="11"/>
        <w:rPr>
          <w:b/>
          <w:sz w:val="21"/>
        </w:rPr>
      </w:pPr>
    </w:p>
    <w:p>
      <w:pPr>
        <w:pStyle w:val="BodyText"/>
        <w:ind w:left="838" w:right="116"/>
      </w:pPr>
      <w:r>
        <w:rPr>
          <w:spacing w:val="-4"/>
        </w:rPr>
        <w:t>Rents </w:t>
      </w:r>
      <w:r>
        <w:rPr>
          <w:spacing w:val="-3"/>
        </w:rPr>
        <w:t>and </w:t>
      </w:r>
      <w:r>
        <w:rPr>
          <w:spacing w:val="-4"/>
        </w:rPr>
        <w:t>annuities arrears amounted </w:t>
      </w:r>
      <w:r>
        <w:rPr/>
        <w:t>to </w:t>
      </w:r>
      <w:r>
        <w:rPr>
          <w:spacing w:val="-4"/>
        </w:rPr>
        <w:t>€1.1m </w:t>
      </w:r>
      <w:r>
        <w:rPr/>
        <w:t>in </w:t>
      </w:r>
      <w:r>
        <w:rPr>
          <w:spacing w:val="-4"/>
        </w:rPr>
        <w:t>2015 (€1.1m </w:t>
      </w:r>
      <w:r>
        <w:rPr/>
        <w:t>in </w:t>
      </w:r>
      <w:r>
        <w:rPr>
          <w:spacing w:val="-4"/>
        </w:rPr>
        <w:t>2014). Weaknesses continue </w:t>
      </w:r>
      <w:r>
        <w:rPr/>
        <w:t>to </w:t>
      </w:r>
      <w:r>
        <w:rPr>
          <w:spacing w:val="-3"/>
        </w:rPr>
        <w:t>be identified with </w:t>
      </w:r>
      <w:r>
        <w:rPr>
          <w:spacing w:val="-4"/>
        </w:rPr>
        <w:t>regard </w:t>
      </w:r>
      <w:r>
        <w:rPr/>
        <w:t>to </w:t>
      </w:r>
      <w:r>
        <w:rPr>
          <w:spacing w:val="-3"/>
        </w:rPr>
        <w:t>the </w:t>
      </w:r>
      <w:r>
        <w:rPr>
          <w:spacing w:val="-4"/>
        </w:rPr>
        <w:t>pursuing </w:t>
      </w:r>
      <w:r>
        <w:rPr>
          <w:spacing w:val="-3"/>
        </w:rPr>
        <w:t>of these </w:t>
      </w:r>
      <w:r>
        <w:rPr>
          <w:spacing w:val="-4"/>
        </w:rPr>
        <w:t>arrears. Balances </w:t>
      </w:r>
      <w:r>
        <w:rPr/>
        <w:t>on </w:t>
      </w:r>
      <w:r>
        <w:rPr>
          <w:spacing w:val="-3"/>
        </w:rPr>
        <w:t>the ten </w:t>
      </w:r>
      <w:r>
        <w:rPr>
          <w:spacing w:val="-4"/>
        </w:rPr>
        <w:t>largest accounts range </w:t>
      </w:r>
      <w:r>
        <w:rPr>
          <w:spacing w:val="-3"/>
        </w:rPr>
        <w:t>from </w:t>
      </w:r>
      <w:r>
        <w:rPr>
          <w:spacing w:val="-4"/>
        </w:rPr>
        <w:t>€9k </w:t>
      </w:r>
      <w:r>
        <w:rPr/>
        <w:t>to </w:t>
      </w:r>
      <w:r>
        <w:rPr>
          <w:spacing w:val="-4"/>
        </w:rPr>
        <w:t>€13k. </w:t>
      </w:r>
      <w:r>
        <w:rPr>
          <w:spacing w:val="-3"/>
        </w:rPr>
        <w:t>The level of </w:t>
      </w:r>
      <w:r>
        <w:rPr>
          <w:spacing w:val="-4"/>
        </w:rPr>
        <w:t>bad </w:t>
      </w:r>
      <w:r>
        <w:rPr>
          <w:spacing w:val="-3"/>
        </w:rPr>
        <w:t>debts </w:t>
      </w:r>
      <w:r>
        <w:rPr>
          <w:spacing w:val="-4"/>
        </w:rPr>
        <w:t>provision </w:t>
      </w:r>
      <w:r>
        <w:rPr>
          <w:spacing w:val="-3"/>
        </w:rPr>
        <w:t>has been </w:t>
      </w:r>
      <w:r>
        <w:rPr>
          <w:spacing w:val="-4"/>
        </w:rPr>
        <w:t>revised during 2015.</w:t>
      </w:r>
    </w:p>
    <w:p>
      <w:pPr>
        <w:pStyle w:val="BodyText"/>
        <w:spacing w:before="10"/>
        <w:rPr>
          <w:sz w:val="21"/>
        </w:rPr>
      </w:pPr>
    </w:p>
    <w:p>
      <w:pPr>
        <w:pStyle w:val="Heading2"/>
        <w:ind w:firstLine="0"/>
      </w:pPr>
      <w:r>
        <w:rPr/>
        <w:t>Chief Executive’s Response</w:t>
      </w:r>
    </w:p>
    <w:p>
      <w:pPr>
        <w:pStyle w:val="BodyText"/>
        <w:spacing w:before="10"/>
        <w:rPr>
          <w:b/>
          <w:sz w:val="21"/>
        </w:rPr>
      </w:pPr>
    </w:p>
    <w:p>
      <w:pPr>
        <w:pStyle w:val="BodyText"/>
        <w:ind w:left="838" w:right="116"/>
      </w:pPr>
      <w:r>
        <w:rPr>
          <w:spacing w:val="-3"/>
        </w:rPr>
        <w:t>Whilst </w:t>
      </w:r>
      <w:r>
        <w:rPr>
          <w:spacing w:val="-4"/>
        </w:rPr>
        <w:t>collection performance improved </w:t>
      </w:r>
      <w:r>
        <w:rPr>
          <w:spacing w:val="-3"/>
        </w:rPr>
        <w:t>by </w:t>
      </w:r>
      <w:r>
        <w:rPr/>
        <w:t>1% in </w:t>
      </w:r>
      <w:r>
        <w:rPr>
          <w:spacing w:val="-3"/>
        </w:rPr>
        <w:t>2015 </w:t>
      </w:r>
      <w:r>
        <w:rPr>
          <w:spacing w:val="-4"/>
        </w:rPr>
        <w:t>compared </w:t>
      </w:r>
      <w:r>
        <w:rPr/>
        <w:t>to </w:t>
      </w:r>
      <w:r>
        <w:rPr>
          <w:spacing w:val="-4"/>
        </w:rPr>
        <w:t>2014, there </w:t>
      </w:r>
      <w:r>
        <w:rPr/>
        <w:t>is </w:t>
      </w:r>
      <w:r>
        <w:rPr>
          <w:spacing w:val="-3"/>
        </w:rPr>
        <w:t>still </w:t>
      </w:r>
      <w:r>
        <w:rPr/>
        <w:t>a </w:t>
      </w:r>
      <w:r>
        <w:rPr>
          <w:spacing w:val="-4"/>
        </w:rPr>
        <w:t>considerable </w:t>
      </w:r>
      <w:r>
        <w:rPr>
          <w:spacing w:val="-3"/>
        </w:rPr>
        <w:t>amount of </w:t>
      </w:r>
      <w:r>
        <w:rPr>
          <w:spacing w:val="-4"/>
        </w:rPr>
        <w:t>work required </w:t>
      </w:r>
      <w:r>
        <w:rPr/>
        <w:t>to </w:t>
      </w:r>
      <w:r>
        <w:rPr>
          <w:spacing w:val="-4"/>
        </w:rPr>
        <w:t>reduce </w:t>
      </w:r>
      <w:r>
        <w:rPr/>
        <w:t>the </w:t>
      </w:r>
      <w:r>
        <w:rPr>
          <w:spacing w:val="-4"/>
        </w:rPr>
        <w:t>arrears figure. </w:t>
      </w:r>
      <w:r>
        <w:rPr>
          <w:spacing w:val="-3"/>
        </w:rPr>
        <w:t>This work </w:t>
      </w:r>
      <w:r>
        <w:rPr/>
        <w:t>is </w:t>
      </w:r>
      <w:r>
        <w:rPr>
          <w:spacing w:val="-4"/>
        </w:rPr>
        <w:t>ongoing </w:t>
      </w:r>
      <w:r>
        <w:rPr>
          <w:spacing w:val="-3"/>
        </w:rPr>
        <w:t>and </w:t>
      </w:r>
      <w:r>
        <w:rPr/>
        <w:t>a </w:t>
      </w:r>
      <w:r>
        <w:rPr>
          <w:spacing w:val="-4"/>
        </w:rPr>
        <w:t>new debt management system </w:t>
      </w:r>
      <w:r>
        <w:rPr/>
        <w:t>is to </w:t>
      </w:r>
      <w:r>
        <w:rPr>
          <w:spacing w:val="-3"/>
        </w:rPr>
        <w:t>be put </w:t>
      </w:r>
      <w:r>
        <w:rPr/>
        <w:t>in </w:t>
      </w:r>
      <w:r>
        <w:rPr>
          <w:spacing w:val="-4"/>
        </w:rPr>
        <w:t>place </w:t>
      </w:r>
      <w:r>
        <w:rPr>
          <w:spacing w:val="-3"/>
        </w:rPr>
        <w:t>by end of July 2016 </w:t>
      </w:r>
      <w:r>
        <w:rPr>
          <w:spacing w:val="-4"/>
        </w:rPr>
        <w:t>which </w:t>
      </w:r>
      <w:r>
        <w:rPr/>
        <w:t>is </w:t>
      </w:r>
      <w:r>
        <w:rPr>
          <w:spacing w:val="-4"/>
        </w:rPr>
        <w:t>expected </w:t>
      </w:r>
      <w:r>
        <w:rPr/>
        <w:t>to </w:t>
      </w:r>
      <w:r>
        <w:rPr>
          <w:spacing w:val="-4"/>
        </w:rPr>
        <w:t>facilitate improvement </w:t>
      </w:r>
      <w:r>
        <w:rPr/>
        <w:t>in </w:t>
      </w:r>
      <w:r>
        <w:rPr>
          <w:spacing w:val="-4"/>
        </w:rPr>
        <w:t>collection performance. </w:t>
      </w:r>
      <w:r>
        <w:rPr>
          <w:spacing w:val="-3"/>
        </w:rPr>
        <w:t>The </w:t>
      </w:r>
      <w:r>
        <w:rPr>
          <w:spacing w:val="-4"/>
        </w:rPr>
        <w:t>Council </w:t>
      </w:r>
      <w:r>
        <w:rPr/>
        <w:t>is </w:t>
      </w:r>
      <w:r>
        <w:rPr>
          <w:spacing w:val="-4"/>
        </w:rPr>
        <w:t>committed </w:t>
      </w:r>
      <w:r>
        <w:rPr/>
        <w:t>to </w:t>
      </w:r>
      <w:r>
        <w:rPr>
          <w:spacing w:val="-4"/>
        </w:rPr>
        <w:t>improving collection performance </w:t>
      </w:r>
      <w:r>
        <w:rPr/>
        <w:t>and </w:t>
      </w:r>
      <w:r>
        <w:rPr>
          <w:spacing w:val="-3"/>
        </w:rPr>
        <w:t>has </w:t>
      </w:r>
      <w:r>
        <w:rPr>
          <w:spacing w:val="-4"/>
        </w:rPr>
        <w:t>applied considerable resources </w:t>
      </w:r>
      <w:r>
        <w:rPr/>
        <w:t>to </w:t>
      </w:r>
      <w:r>
        <w:rPr>
          <w:spacing w:val="-4"/>
        </w:rPr>
        <w:t>achieving </w:t>
      </w:r>
      <w:r>
        <w:rPr>
          <w:spacing w:val="-3"/>
        </w:rPr>
        <w:t>this </w:t>
      </w:r>
      <w:r>
        <w:rPr>
          <w:spacing w:val="-4"/>
        </w:rPr>
        <w:t>objective.</w:t>
      </w:r>
    </w:p>
    <w:p>
      <w:pPr>
        <w:pStyle w:val="BodyText"/>
        <w:spacing w:before="2"/>
      </w:pPr>
    </w:p>
    <w:p>
      <w:pPr>
        <w:pStyle w:val="Heading2"/>
        <w:numPr>
          <w:ilvl w:val="1"/>
          <w:numId w:val="2"/>
        </w:numPr>
        <w:tabs>
          <w:tab w:pos="838" w:val="left" w:leader="none"/>
        </w:tabs>
        <w:spacing w:line="240" w:lineRule="auto" w:before="0" w:after="0"/>
        <w:ind w:left="838" w:right="0" w:hanging="720"/>
        <w:jc w:val="left"/>
      </w:pPr>
      <w:r>
        <w:rPr>
          <w:spacing w:val="-3"/>
        </w:rPr>
        <w:t>Housing Loans</w:t>
      </w:r>
    </w:p>
    <w:p>
      <w:pPr>
        <w:pStyle w:val="BodyText"/>
        <w:spacing w:before="10"/>
        <w:rPr>
          <w:b/>
          <w:sz w:val="21"/>
        </w:rPr>
      </w:pPr>
    </w:p>
    <w:p>
      <w:pPr>
        <w:pStyle w:val="BodyText"/>
        <w:ind w:left="838" w:right="629"/>
        <w:jc w:val="both"/>
      </w:pPr>
      <w:r>
        <w:rPr>
          <w:spacing w:val="-4"/>
        </w:rPr>
        <w:t>Housing </w:t>
      </w:r>
      <w:r>
        <w:rPr>
          <w:spacing w:val="-3"/>
        </w:rPr>
        <w:t>loan </w:t>
      </w:r>
      <w:r>
        <w:rPr>
          <w:spacing w:val="-4"/>
        </w:rPr>
        <w:t>arrears amounted </w:t>
      </w:r>
      <w:r>
        <w:rPr/>
        <w:t>to </w:t>
      </w:r>
      <w:r>
        <w:rPr>
          <w:spacing w:val="-4"/>
        </w:rPr>
        <w:t>€218k </w:t>
      </w:r>
      <w:r>
        <w:rPr/>
        <w:t>in </w:t>
      </w:r>
      <w:r>
        <w:rPr>
          <w:spacing w:val="-3"/>
        </w:rPr>
        <w:t>2015 (€267k </w:t>
      </w:r>
      <w:r>
        <w:rPr/>
        <w:t>in </w:t>
      </w:r>
      <w:r>
        <w:rPr>
          <w:spacing w:val="-4"/>
        </w:rPr>
        <w:t>2014). </w:t>
      </w:r>
      <w:r>
        <w:rPr>
          <w:spacing w:val="-3"/>
        </w:rPr>
        <w:t>While </w:t>
      </w:r>
      <w:r>
        <w:rPr>
          <w:spacing w:val="-4"/>
        </w:rPr>
        <w:t>there </w:t>
      </w:r>
      <w:r>
        <w:rPr>
          <w:spacing w:val="-3"/>
        </w:rPr>
        <w:t>has been </w:t>
      </w:r>
      <w:r>
        <w:rPr/>
        <w:t>an </w:t>
      </w:r>
      <w:r>
        <w:rPr>
          <w:spacing w:val="-4"/>
        </w:rPr>
        <w:t>increase </w:t>
      </w:r>
      <w:r>
        <w:rPr/>
        <w:t>in </w:t>
      </w:r>
      <w:r>
        <w:rPr>
          <w:spacing w:val="-3"/>
        </w:rPr>
        <w:t>the </w:t>
      </w:r>
      <w:r>
        <w:rPr>
          <w:spacing w:val="-4"/>
        </w:rPr>
        <w:t>collection yield, </w:t>
      </w:r>
      <w:r>
        <w:rPr/>
        <w:t>it </w:t>
      </w:r>
      <w:r>
        <w:rPr>
          <w:spacing w:val="-3"/>
        </w:rPr>
        <w:t>was </w:t>
      </w:r>
      <w:r>
        <w:rPr>
          <w:spacing w:val="-4"/>
        </w:rPr>
        <w:t>noted that arrears continue </w:t>
      </w:r>
      <w:r>
        <w:rPr/>
        <w:t>to </w:t>
      </w:r>
      <w:r>
        <w:rPr>
          <w:spacing w:val="-4"/>
        </w:rPr>
        <w:t>increase </w:t>
      </w:r>
      <w:r>
        <w:rPr/>
        <w:t>on a </w:t>
      </w:r>
      <w:r>
        <w:rPr>
          <w:spacing w:val="-3"/>
        </w:rPr>
        <w:t>number of </w:t>
      </w:r>
      <w:r>
        <w:rPr>
          <w:spacing w:val="-4"/>
        </w:rPr>
        <w:t>accounts </w:t>
      </w:r>
      <w:r>
        <w:rPr/>
        <w:t>as </w:t>
      </w:r>
      <w:r>
        <w:rPr>
          <w:spacing w:val="-4"/>
        </w:rPr>
        <w:t>mortgage payments received </w:t>
      </w:r>
      <w:r>
        <w:rPr/>
        <w:t>are </w:t>
      </w:r>
      <w:r>
        <w:rPr>
          <w:spacing w:val="-4"/>
        </w:rPr>
        <w:t>insufficient </w:t>
      </w:r>
      <w:r>
        <w:rPr/>
        <w:t>to </w:t>
      </w:r>
      <w:r>
        <w:rPr>
          <w:spacing w:val="-4"/>
        </w:rPr>
        <w:t>cover </w:t>
      </w:r>
      <w:r>
        <w:rPr>
          <w:spacing w:val="-3"/>
        </w:rPr>
        <w:t>the </w:t>
      </w:r>
      <w:r>
        <w:rPr>
          <w:spacing w:val="-4"/>
        </w:rPr>
        <w:t>monthly </w:t>
      </w:r>
      <w:r>
        <w:rPr>
          <w:spacing w:val="-3"/>
        </w:rPr>
        <w:t>loan </w:t>
      </w:r>
      <w:r>
        <w:rPr>
          <w:spacing w:val="-4"/>
        </w:rPr>
        <w:t>accrual.</w:t>
      </w:r>
    </w:p>
    <w:p>
      <w:pPr>
        <w:pStyle w:val="BodyText"/>
        <w:spacing w:before="1"/>
      </w:pPr>
    </w:p>
    <w:p>
      <w:pPr>
        <w:pStyle w:val="BodyText"/>
        <w:ind w:left="838" w:right="208"/>
      </w:pPr>
      <w:r>
        <w:rPr>
          <w:spacing w:val="-3"/>
        </w:rPr>
        <w:t>The </w:t>
      </w:r>
      <w:r>
        <w:rPr>
          <w:spacing w:val="-4"/>
        </w:rPr>
        <w:t>level </w:t>
      </w:r>
      <w:r>
        <w:rPr>
          <w:spacing w:val="-3"/>
        </w:rPr>
        <w:t>of bad </w:t>
      </w:r>
      <w:r>
        <w:rPr>
          <w:spacing w:val="-4"/>
        </w:rPr>
        <w:t>debts provision has </w:t>
      </w:r>
      <w:r>
        <w:rPr>
          <w:spacing w:val="-3"/>
        </w:rPr>
        <w:t>been </w:t>
      </w:r>
      <w:r>
        <w:rPr>
          <w:spacing w:val="-4"/>
        </w:rPr>
        <w:t>revised during 2015. </w:t>
      </w:r>
      <w:r>
        <w:rPr>
          <w:spacing w:val="-3"/>
        </w:rPr>
        <w:t>The </w:t>
      </w:r>
      <w:r>
        <w:rPr>
          <w:spacing w:val="-4"/>
        </w:rPr>
        <w:t>Council continues </w:t>
      </w:r>
      <w:r>
        <w:rPr/>
        <w:t>to </w:t>
      </w:r>
      <w:r>
        <w:rPr>
          <w:spacing w:val="-4"/>
        </w:rPr>
        <w:t>engage </w:t>
      </w:r>
      <w:r>
        <w:rPr>
          <w:spacing w:val="-3"/>
        </w:rPr>
        <w:t>with </w:t>
      </w:r>
      <w:r>
        <w:rPr>
          <w:spacing w:val="-4"/>
        </w:rPr>
        <w:t>mortgagees </w:t>
      </w:r>
      <w:r>
        <w:rPr/>
        <w:t>in </w:t>
      </w:r>
      <w:r>
        <w:rPr>
          <w:spacing w:val="-4"/>
        </w:rPr>
        <w:t>order </w:t>
      </w:r>
      <w:r>
        <w:rPr/>
        <w:t>to </w:t>
      </w:r>
      <w:r>
        <w:rPr>
          <w:spacing w:val="-4"/>
        </w:rPr>
        <w:t>reduce </w:t>
      </w:r>
      <w:r>
        <w:rPr/>
        <w:t>the </w:t>
      </w:r>
      <w:r>
        <w:rPr>
          <w:spacing w:val="-4"/>
        </w:rPr>
        <w:t>arrears </w:t>
      </w:r>
      <w:r>
        <w:rPr/>
        <w:t>on </w:t>
      </w:r>
      <w:r>
        <w:rPr>
          <w:spacing w:val="-3"/>
        </w:rPr>
        <w:t>these </w:t>
      </w:r>
      <w:r>
        <w:rPr>
          <w:spacing w:val="-4"/>
        </w:rPr>
        <w:t>accounts. </w:t>
      </w:r>
      <w:r>
        <w:rPr>
          <w:spacing w:val="-3"/>
        </w:rPr>
        <w:t>Two </w:t>
      </w:r>
      <w:r>
        <w:rPr>
          <w:spacing w:val="-4"/>
        </w:rPr>
        <w:t>properties were repossessed </w:t>
      </w:r>
      <w:r>
        <w:rPr/>
        <w:t>in </w:t>
      </w:r>
      <w:r>
        <w:rPr>
          <w:spacing w:val="-4"/>
        </w:rPr>
        <w:t>2015 through </w:t>
      </w:r>
      <w:r>
        <w:rPr/>
        <w:t>the </w:t>
      </w:r>
      <w:r>
        <w:rPr>
          <w:spacing w:val="-4"/>
        </w:rPr>
        <w:t>mortgage </w:t>
      </w:r>
      <w:r>
        <w:rPr/>
        <w:t>to </w:t>
      </w:r>
      <w:r>
        <w:rPr>
          <w:spacing w:val="-4"/>
        </w:rPr>
        <w:t>rent scheme.</w:t>
      </w:r>
    </w:p>
    <w:p>
      <w:pPr>
        <w:spacing w:after="0"/>
        <w:sectPr>
          <w:headerReference w:type="default" r:id="rId8"/>
          <w:pgSz w:w="11910" w:h="16840"/>
          <w:pgMar w:header="1442" w:footer="426" w:top="1660" w:bottom="620" w:left="1680" w:right="1680"/>
        </w:sectPr>
      </w:pPr>
    </w:p>
    <w:p>
      <w:pPr>
        <w:pStyle w:val="BodyText"/>
        <w:rPr>
          <w:sz w:val="16"/>
        </w:rPr>
      </w:pPr>
    </w:p>
    <w:p>
      <w:pPr>
        <w:pStyle w:val="BodyText"/>
        <w:spacing w:before="74"/>
        <w:ind w:left="838" w:right="419"/>
      </w:pPr>
      <w:r>
        <w:rPr>
          <w:spacing w:val="-4"/>
        </w:rPr>
        <w:t>There </w:t>
      </w:r>
      <w:r>
        <w:rPr>
          <w:spacing w:val="-3"/>
        </w:rPr>
        <w:t>was </w:t>
      </w:r>
      <w:r>
        <w:rPr/>
        <w:t>a </w:t>
      </w:r>
      <w:r>
        <w:rPr>
          <w:spacing w:val="-4"/>
        </w:rPr>
        <w:t>significant improvement </w:t>
      </w:r>
      <w:r>
        <w:rPr>
          <w:spacing w:val="-3"/>
        </w:rPr>
        <w:t>of </w:t>
      </w:r>
      <w:r>
        <w:rPr/>
        <w:t>6% in </w:t>
      </w:r>
      <w:r>
        <w:rPr>
          <w:spacing w:val="-4"/>
        </w:rPr>
        <w:t>housing </w:t>
      </w:r>
      <w:r>
        <w:rPr>
          <w:spacing w:val="-3"/>
        </w:rPr>
        <w:t>loans </w:t>
      </w:r>
      <w:r>
        <w:rPr>
          <w:spacing w:val="-4"/>
        </w:rPr>
        <w:t>collection performance </w:t>
      </w:r>
      <w:r>
        <w:rPr/>
        <w:t>in </w:t>
      </w:r>
      <w:r>
        <w:rPr>
          <w:spacing w:val="-4"/>
        </w:rPr>
        <w:t>2015 compared </w:t>
      </w:r>
      <w:r>
        <w:rPr/>
        <w:t>to </w:t>
      </w:r>
      <w:r>
        <w:rPr>
          <w:spacing w:val="-4"/>
        </w:rPr>
        <w:t>2014. There </w:t>
      </w:r>
      <w:r>
        <w:rPr>
          <w:spacing w:val="-3"/>
        </w:rPr>
        <w:t>are </w:t>
      </w:r>
      <w:r>
        <w:rPr/>
        <w:t>a </w:t>
      </w:r>
      <w:r>
        <w:rPr>
          <w:spacing w:val="-3"/>
        </w:rPr>
        <w:t>small </w:t>
      </w:r>
      <w:r>
        <w:rPr>
          <w:spacing w:val="-4"/>
        </w:rPr>
        <w:t>number </w:t>
      </w:r>
      <w:r>
        <w:rPr>
          <w:spacing w:val="-3"/>
        </w:rPr>
        <w:t>of </w:t>
      </w:r>
      <w:r>
        <w:rPr>
          <w:spacing w:val="-4"/>
        </w:rPr>
        <w:t>accounts </w:t>
      </w:r>
      <w:r>
        <w:rPr>
          <w:spacing w:val="-3"/>
        </w:rPr>
        <w:t>with </w:t>
      </w:r>
      <w:r>
        <w:rPr>
          <w:spacing w:val="-4"/>
        </w:rPr>
        <w:t>significant arrears </w:t>
      </w:r>
      <w:r>
        <w:rPr>
          <w:spacing w:val="-3"/>
        </w:rPr>
        <w:t>and </w:t>
      </w:r>
      <w:r>
        <w:rPr>
          <w:spacing w:val="-4"/>
        </w:rPr>
        <w:t>work </w:t>
      </w:r>
      <w:r>
        <w:rPr/>
        <w:t>is </w:t>
      </w:r>
      <w:r>
        <w:rPr>
          <w:spacing w:val="-4"/>
        </w:rPr>
        <w:t>ongoing </w:t>
      </w:r>
      <w:r>
        <w:rPr/>
        <w:t>in </w:t>
      </w:r>
      <w:r>
        <w:rPr>
          <w:spacing w:val="-4"/>
        </w:rPr>
        <w:t>respect </w:t>
      </w:r>
      <w:r>
        <w:rPr>
          <w:spacing w:val="-3"/>
        </w:rPr>
        <w:t>of </w:t>
      </w:r>
      <w:r>
        <w:rPr>
          <w:spacing w:val="-4"/>
        </w:rPr>
        <w:t>these </w:t>
      </w:r>
      <w:r>
        <w:rPr>
          <w:spacing w:val="-3"/>
        </w:rPr>
        <w:t>cases. </w:t>
      </w:r>
      <w:r>
        <w:rPr/>
        <w:t>It is </w:t>
      </w:r>
      <w:r>
        <w:rPr>
          <w:spacing w:val="-4"/>
        </w:rPr>
        <w:t>expected that collection performance </w:t>
      </w:r>
      <w:r>
        <w:rPr/>
        <w:t>for </w:t>
      </w:r>
      <w:r>
        <w:rPr>
          <w:spacing w:val="-3"/>
        </w:rPr>
        <w:t>2016 </w:t>
      </w:r>
      <w:r>
        <w:rPr/>
        <w:t>will </w:t>
      </w:r>
      <w:r>
        <w:rPr>
          <w:spacing w:val="-4"/>
        </w:rPr>
        <w:t>again show </w:t>
      </w:r>
      <w:r>
        <w:rPr>
          <w:spacing w:val="-3"/>
        </w:rPr>
        <w:t>an </w:t>
      </w:r>
      <w:r>
        <w:rPr>
          <w:spacing w:val="-4"/>
        </w:rPr>
        <w:t>improvement </w:t>
      </w:r>
      <w:r>
        <w:rPr>
          <w:spacing w:val="-3"/>
        </w:rPr>
        <w:t>on </w:t>
      </w:r>
      <w:r>
        <w:rPr>
          <w:spacing w:val="-4"/>
        </w:rPr>
        <w:t>2015 collection performance.</w:t>
      </w:r>
    </w:p>
    <w:p>
      <w:pPr>
        <w:pStyle w:val="BodyText"/>
        <w:spacing w:before="10"/>
        <w:rPr>
          <w:sz w:val="21"/>
        </w:rPr>
      </w:pPr>
    </w:p>
    <w:p>
      <w:pPr>
        <w:pStyle w:val="Heading2"/>
        <w:numPr>
          <w:ilvl w:val="1"/>
          <w:numId w:val="2"/>
        </w:numPr>
        <w:tabs>
          <w:tab w:pos="838" w:val="left" w:leader="none"/>
        </w:tabs>
        <w:spacing w:line="240" w:lineRule="auto" w:before="0" w:after="0"/>
        <w:ind w:left="838" w:right="0" w:hanging="720"/>
        <w:jc w:val="left"/>
      </w:pPr>
      <w:r>
        <w:rPr>
          <w:spacing w:val="-4"/>
        </w:rPr>
        <w:t>General</w:t>
      </w:r>
    </w:p>
    <w:p>
      <w:pPr>
        <w:pStyle w:val="BodyText"/>
        <w:spacing w:before="10"/>
        <w:rPr>
          <w:b/>
          <w:sz w:val="21"/>
        </w:rPr>
      </w:pPr>
    </w:p>
    <w:p>
      <w:pPr>
        <w:pStyle w:val="BodyText"/>
        <w:ind w:left="838" w:right="208"/>
      </w:pPr>
      <w:r>
        <w:rPr/>
        <w:t>It </w:t>
      </w:r>
      <w:r>
        <w:rPr>
          <w:spacing w:val="-4"/>
        </w:rPr>
        <w:t>has been highlighted </w:t>
      </w:r>
      <w:r>
        <w:rPr>
          <w:spacing w:val="-3"/>
        </w:rPr>
        <w:t>at </w:t>
      </w:r>
      <w:r>
        <w:rPr>
          <w:spacing w:val="-4"/>
        </w:rPr>
        <w:t>previous </w:t>
      </w:r>
      <w:r>
        <w:rPr>
          <w:spacing w:val="-3"/>
        </w:rPr>
        <w:t>audits </w:t>
      </w:r>
      <w:r>
        <w:rPr>
          <w:spacing w:val="-4"/>
        </w:rPr>
        <w:t>that account </w:t>
      </w:r>
      <w:r>
        <w:rPr/>
        <w:t>/ </w:t>
      </w:r>
      <w:r>
        <w:rPr>
          <w:spacing w:val="-4"/>
        </w:rPr>
        <w:t>balance statements </w:t>
      </w:r>
      <w:r>
        <w:rPr>
          <w:spacing w:val="-3"/>
        </w:rPr>
        <w:t>do not issue </w:t>
      </w:r>
      <w:r>
        <w:rPr/>
        <w:t>to </w:t>
      </w:r>
      <w:r>
        <w:rPr>
          <w:spacing w:val="-3"/>
        </w:rPr>
        <w:t>all </w:t>
      </w:r>
      <w:r>
        <w:rPr>
          <w:spacing w:val="-4"/>
        </w:rPr>
        <w:t>mortgagees </w:t>
      </w:r>
      <w:r>
        <w:rPr/>
        <w:t>/ </w:t>
      </w:r>
      <w:r>
        <w:rPr>
          <w:spacing w:val="-4"/>
        </w:rPr>
        <w:t>tenants </w:t>
      </w:r>
      <w:r>
        <w:rPr>
          <w:spacing w:val="-3"/>
        </w:rPr>
        <w:t>of the </w:t>
      </w:r>
      <w:r>
        <w:rPr>
          <w:spacing w:val="-4"/>
        </w:rPr>
        <w:t>Council. </w:t>
      </w:r>
      <w:r>
        <w:rPr/>
        <w:t>I </w:t>
      </w:r>
      <w:r>
        <w:rPr>
          <w:spacing w:val="-4"/>
        </w:rPr>
        <w:t>have recommended </w:t>
      </w:r>
      <w:r>
        <w:rPr>
          <w:spacing w:val="-3"/>
        </w:rPr>
        <w:t>that </w:t>
      </w:r>
      <w:r>
        <w:rPr>
          <w:spacing w:val="-4"/>
        </w:rPr>
        <w:t>such statements </w:t>
      </w:r>
      <w:r>
        <w:rPr>
          <w:spacing w:val="-3"/>
        </w:rPr>
        <w:t>be issued </w:t>
      </w:r>
      <w:r>
        <w:rPr>
          <w:spacing w:val="-4"/>
        </w:rPr>
        <w:t>annually. Sufficient resources </w:t>
      </w:r>
      <w:r>
        <w:rPr>
          <w:spacing w:val="-3"/>
        </w:rPr>
        <w:t>should be </w:t>
      </w:r>
      <w:r>
        <w:rPr>
          <w:spacing w:val="-4"/>
        </w:rPr>
        <w:t>allocated </w:t>
      </w:r>
      <w:r>
        <w:rPr/>
        <w:t>to </w:t>
      </w:r>
      <w:r>
        <w:rPr>
          <w:spacing w:val="-3"/>
        </w:rPr>
        <w:t>the follow up of </w:t>
      </w:r>
      <w:r>
        <w:rPr>
          <w:spacing w:val="-4"/>
        </w:rPr>
        <w:t>arrears. </w:t>
      </w:r>
      <w:r>
        <w:rPr/>
        <w:t>It </w:t>
      </w:r>
      <w:r>
        <w:rPr>
          <w:spacing w:val="-4"/>
        </w:rPr>
        <w:t>has </w:t>
      </w:r>
      <w:r>
        <w:rPr>
          <w:spacing w:val="-3"/>
        </w:rPr>
        <w:t>been </w:t>
      </w:r>
      <w:r>
        <w:rPr>
          <w:spacing w:val="-4"/>
        </w:rPr>
        <w:t>recommended </w:t>
      </w:r>
      <w:r>
        <w:rPr/>
        <w:t>in </w:t>
      </w:r>
      <w:r>
        <w:rPr>
          <w:spacing w:val="-4"/>
        </w:rPr>
        <w:t>previous </w:t>
      </w:r>
      <w:r>
        <w:rPr>
          <w:spacing w:val="-3"/>
        </w:rPr>
        <w:t>audit </w:t>
      </w:r>
      <w:r>
        <w:rPr>
          <w:spacing w:val="-4"/>
        </w:rPr>
        <w:t>reports that </w:t>
      </w:r>
      <w:r>
        <w:rPr/>
        <w:t>a </w:t>
      </w:r>
      <w:r>
        <w:rPr>
          <w:spacing w:val="-4"/>
        </w:rPr>
        <w:t>dedicated </w:t>
      </w:r>
      <w:r>
        <w:rPr>
          <w:spacing w:val="-3"/>
        </w:rPr>
        <w:t>credit </w:t>
      </w:r>
      <w:r>
        <w:rPr>
          <w:spacing w:val="-4"/>
        </w:rPr>
        <w:t>control </w:t>
      </w:r>
      <w:r>
        <w:rPr>
          <w:spacing w:val="-3"/>
        </w:rPr>
        <w:t>unit be </w:t>
      </w:r>
      <w:r>
        <w:rPr>
          <w:spacing w:val="-4"/>
        </w:rPr>
        <w:t>established.</w:t>
      </w:r>
    </w:p>
    <w:p>
      <w:pPr>
        <w:pStyle w:val="BodyText"/>
        <w:spacing w:before="11"/>
        <w:rPr>
          <w:sz w:val="21"/>
        </w:rPr>
      </w:pPr>
    </w:p>
    <w:p>
      <w:pPr>
        <w:pStyle w:val="Heading2"/>
        <w:ind w:firstLine="0"/>
      </w:pPr>
      <w:r>
        <w:rPr/>
        <w:t>Chief Executive’s Response</w:t>
      </w:r>
    </w:p>
    <w:p>
      <w:pPr>
        <w:pStyle w:val="BodyText"/>
        <w:spacing w:before="1"/>
        <w:rPr>
          <w:b/>
        </w:rPr>
      </w:pPr>
    </w:p>
    <w:p>
      <w:pPr>
        <w:pStyle w:val="BodyText"/>
        <w:ind w:left="838" w:right="232"/>
      </w:pPr>
      <w:r>
        <w:rPr>
          <w:spacing w:val="-3"/>
        </w:rPr>
        <w:t>The new </w:t>
      </w:r>
      <w:r>
        <w:rPr>
          <w:spacing w:val="-4"/>
        </w:rPr>
        <w:t>debt management system </w:t>
      </w:r>
      <w:r>
        <w:rPr>
          <w:spacing w:val="-3"/>
        </w:rPr>
        <w:t>will </w:t>
      </w:r>
      <w:r>
        <w:rPr>
          <w:spacing w:val="-4"/>
        </w:rPr>
        <w:t>facilitate issue </w:t>
      </w:r>
      <w:r>
        <w:rPr>
          <w:spacing w:val="-3"/>
        </w:rPr>
        <w:t>of </w:t>
      </w:r>
      <w:r>
        <w:rPr>
          <w:spacing w:val="-4"/>
        </w:rPr>
        <w:t>statements </w:t>
      </w:r>
      <w:r>
        <w:rPr>
          <w:spacing w:val="-3"/>
        </w:rPr>
        <w:t>of </w:t>
      </w:r>
      <w:r>
        <w:rPr>
          <w:spacing w:val="-4"/>
        </w:rPr>
        <w:t>account </w:t>
      </w:r>
      <w:r>
        <w:rPr/>
        <w:t>to </w:t>
      </w:r>
      <w:r>
        <w:rPr>
          <w:spacing w:val="-3"/>
        </w:rPr>
        <w:t>all </w:t>
      </w:r>
      <w:r>
        <w:rPr>
          <w:spacing w:val="-4"/>
        </w:rPr>
        <w:t>mortgagees/tenants </w:t>
      </w:r>
      <w:r>
        <w:rPr>
          <w:spacing w:val="-3"/>
        </w:rPr>
        <w:t>of the </w:t>
      </w:r>
      <w:r>
        <w:rPr>
          <w:spacing w:val="-4"/>
        </w:rPr>
        <w:t>Council and </w:t>
      </w:r>
      <w:r>
        <w:rPr>
          <w:spacing w:val="-3"/>
        </w:rPr>
        <w:t>this </w:t>
      </w:r>
      <w:r>
        <w:rPr/>
        <w:t>will </w:t>
      </w:r>
      <w:r>
        <w:rPr>
          <w:spacing w:val="-3"/>
        </w:rPr>
        <w:t>be </w:t>
      </w:r>
      <w:r>
        <w:rPr>
          <w:spacing w:val="-4"/>
        </w:rPr>
        <w:t>done </w:t>
      </w:r>
      <w:r>
        <w:rPr>
          <w:spacing w:val="-3"/>
        </w:rPr>
        <w:t>from 2016 </w:t>
      </w:r>
      <w:r>
        <w:rPr>
          <w:spacing w:val="-4"/>
        </w:rPr>
        <w:t>onwards. There </w:t>
      </w:r>
      <w:r>
        <w:rPr>
          <w:spacing w:val="-3"/>
        </w:rPr>
        <w:t>was </w:t>
      </w:r>
      <w:r>
        <w:rPr/>
        <w:t>a </w:t>
      </w:r>
      <w:r>
        <w:rPr>
          <w:spacing w:val="-3"/>
        </w:rPr>
        <w:t>new </w:t>
      </w:r>
      <w:r>
        <w:rPr>
          <w:spacing w:val="-4"/>
        </w:rPr>
        <w:t>debt management policy </w:t>
      </w:r>
      <w:r>
        <w:rPr>
          <w:spacing w:val="-3"/>
        </w:rPr>
        <w:t>signed off </w:t>
      </w:r>
      <w:r>
        <w:rPr/>
        <w:t>in </w:t>
      </w:r>
      <w:r>
        <w:rPr>
          <w:spacing w:val="-3"/>
        </w:rPr>
        <w:t>July </w:t>
      </w:r>
      <w:r>
        <w:rPr>
          <w:spacing w:val="-4"/>
        </w:rPr>
        <w:t>2015 </w:t>
      </w:r>
      <w:r>
        <w:rPr>
          <w:spacing w:val="-3"/>
        </w:rPr>
        <w:t>which </w:t>
      </w:r>
      <w:r>
        <w:rPr>
          <w:spacing w:val="-4"/>
        </w:rPr>
        <w:t>placed </w:t>
      </w:r>
      <w:r>
        <w:rPr>
          <w:spacing w:val="-3"/>
        </w:rPr>
        <w:t>the </w:t>
      </w:r>
      <w:r>
        <w:rPr>
          <w:spacing w:val="-4"/>
        </w:rPr>
        <w:t>responsibility </w:t>
      </w:r>
      <w:r>
        <w:rPr>
          <w:spacing w:val="-3"/>
        </w:rPr>
        <w:t>for </w:t>
      </w:r>
      <w:r>
        <w:rPr>
          <w:spacing w:val="-4"/>
        </w:rPr>
        <w:t>debt collection </w:t>
      </w:r>
      <w:r>
        <w:rPr>
          <w:spacing w:val="-3"/>
        </w:rPr>
        <w:t>with </w:t>
      </w:r>
      <w:r>
        <w:rPr>
          <w:spacing w:val="-4"/>
        </w:rPr>
        <w:t>relevant department. </w:t>
      </w:r>
      <w:r>
        <w:rPr>
          <w:spacing w:val="-3"/>
        </w:rPr>
        <w:t>The </w:t>
      </w:r>
      <w:r>
        <w:rPr>
          <w:spacing w:val="-4"/>
        </w:rPr>
        <w:t>Council has allocated resources </w:t>
      </w:r>
      <w:r>
        <w:rPr>
          <w:spacing w:val="-3"/>
        </w:rPr>
        <w:t>based on </w:t>
      </w:r>
      <w:r>
        <w:rPr/>
        <w:t>the </w:t>
      </w:r>
      <w:r>
        <w:rPr>
          <w:spacing w:val="-4"/>
        </w:rPr>
        <w:t>current staff complement, </w:t>
      </w:r>
      <w:r>
        <w:rPr/>
        <w:t>to </w:t>
      </w:r>
      <w:r>
        <w:rPr>
          <w:spacing w:val="-4"/>
        </w:rPr>
        <w:t>debt collection.  </w:t>
      </w:r>
      <w:r>
        <w:rPr>
          <w:spacing w:val="-3"/>
        </w:rPr>
        <w:t>The </w:t>
      </w:r>
      <w:r>
        <w:rPr>
          <w:spacing w:val="-4"/>
        </w:rPr>
        <w:t>Council </w:t>
      </w:r>
      <w:r>
        <w:rPr>
          <w:spacing w:val="-3"/>
        </w:rPr>
        <w:t>will </w:t>
      </w:r>
      <w:r>
        <w:rPr>
          <w:spacing w:val="-4"/>
        </w:rPr>
        <w:t>examine </w:t>
      </w:r>
      <w:r>
        <w:rPr>
          <w:spacing w:val="-3"/>
        </w:rPr>
        <w:t>the </w:t>
      </w:r>
      <w:r>
        <w:rPr>
          <w:spacing w:val="-4"/>
        </w:rPr>
        <w:t>position </w:t>
      </w:r>
      <w:r>
        <w:rPr>
          <w:spacing w:val="-3"/>
        </w:rPr>
        <w:t>of </w:t>
      </w:r>
      <w:r>
        <w:rPr>
          <w:spacing w:val="-4"/>
        </w:rPr>
        <w:t>new </w:t>
      </w:r>
      <w:r>
        <w:rPr>
          <w:spacing w:val="-3"/>
        </w:rPr>
        <w:t>debt </w:t>
      </w:r>
      <w:r>
        <w:rPr>
          <w:spacing w:val="-4"/>
        </w:rPr>
        <w:t>collection centre </w:t>
      </w:r>
      <w:r>
        <w:rPr/>
        <w:t>in </w:t>
      </w:r>
      <w:r>
        <w:rPr>
          <w:spacing w:val="-3"/>
        </w:rPr>
        <w:t>2017 </w:t>
      </w:r>
      <w:r>
        <w:rPr>
          <w:spacing w:val="-4"/>
        </w:rPr>
        <w:t>following review </w:t>
      </w:r>
      <w:r>
        <w:rPr>
          <w:spacing w:val="-3"/>
        </w:rPr>
        <w:t>of </w:t>
      </w:r>
      <w:r>
        <w:rPr>
          <w:spacing w:val="-4"/>
        </w:rPr>
        <w:t>2016 collection performance.</w:t>
      </w:r>
    </w:p>
    <w:p>
      <w:pPr>
        <w:pStyle w:val="BodyText"/>
        <w:spacing w:before="10"/>
        <w:rPr>
          <w:sz w:val="21"/>
        </w:rPr>
      </w:pPr>
    </w:p>
    <w:p>
      <w:pPr>
        <w:pStyle w:val="Heading2"/>
        <w:numPr>
          <w:ilvl w:val="0"/>
          <w:numId w:val="2"/>
        </w:numPr>
        <w:tabs>
          <w:tab w:pos="838" w:val="left" w:leader="none"/>
        </w:tabs>
        <w:spacing w:line="240" w:lineRule="auto" w:before="0" w:after="0"/>
        <w:ind w:left="838" w:right="0" w:hanging="720"/>
        <w:jc w:val="left"/>
      </w:pPr>
      <w:r>
        <w:rPr>
          <w:spacing w:val="-4"/>
        </w:rPr>
        <w:t>Capital</w:t>
      </w:r>
      <w:r>
        <w:rPr>
          <w:spacing w:val="1"/>
        </w:rPr>
        <w:t> </w:t>
      </w:r>
      <w:r>
        <w:rPr>
          <w:spacing w:val="-3"/>
        </w:rPr>
        <w:t>Account</w:t>
      </w:r>
    </w:p>
    <w:p>
      <w:pPr>
        <w:pStyle w:val="BodyText"/>
        <w:spacing w:before="10"/>
        <w:rPr>
          <w:b/>
          <w:sz w:val="21"/>
        </w:rPr>
      </w:pPr>
    </w:p>
    <w:p>
      <w:pPr>
        <w:pStyle w:val="ListParagraph"/>
        <w:numPr>
          <w:ilvl w:val="1"/>
          <w:numId w:val="2"/>
        </w:numPr>
        <w:tabs>
          <w:tab w:pos="838" w:val="left" w:leader="none"/>
        </w:tabs>
        <w:spacing w:line="240" w:lineRule="auto" w:before="0" w:after="0"/>
        <w:ind w:left="838" w:right="0" w:hanging="720"/>
        <w:jc w:val="left"/>
        <w:rPr>
          <w:b/>
          <w:sz w:val="22"/>
        </w:rPr>
      </w:pPr>
      <w:r>
        <w:rPr>
          <w:b/>
          <w:spacing w:val="-4"/>
          <w:sz w:val="22"/>
        </w:rPr>
        <w:t>Unfunded</w:t>
      </w:r>
      <w:r>
        <w:rPr>
          <w:b/>
          <w:spacing w:val="10"/>
          <w:sz w:val="22"/>
        </w:rPr>
        <w:t> </w:t>
      </w:r>
      <w:r>
        <w:rPr>
          <w:b/>
          <w:spacing w:val="-4"/>
          <w:sz w:val="22"/>
        </w:rPr>
        <w:t>Balances</w:t>
      </w:r>
    </w:p>
    <w:p>
      <w:pPr>
        <w:pStyle w:val="BodyText"/>
        <w:spacing w:before="1"/>
        <w:rPr>
          <w:b/>
        </w:rPr>
      </w:pPr>
    </w:p>
    <w:p>
      <w:pPr>
        <w:pStyle w:val="BodyText"/>
        <w:spacing w:before="1"/>
        <w:ind w:left="838"/>
      </w:pPr>
      <w:r>
        <w:rPr>
          <w:spacing w:val="-3"/>
        </w:rPr>
        <w:t>The net </w:t>
      </w:r>
      <w:r>
        <w:rPr>
          <w:spacing w:val="-4"/>
        </w:rPr>
        <w:t>capital balance </w:t>
      </w:r>
      <w:r>
        <w:rPr>
          <w:spacing w:val="-3"/>
        </w:rPr>
        <w:t>at the end of the year showed </w:t>
      </w:r>
      <w:r>
        <w:rPr/>
        <w:t>a </w:t>
      </w:r>
      <w:r>
        <w:rPr>
          <w:spacing w:val="-3"/>
        </w:rPr>
        <w:t>surplus of </w:t>
      </w:r>
      <w:r>
        <w:rPr>
          <w:spacing w:val="-4"/>
        </w:rPr>
        <w:t>€11.330m. Included </w:t>
      </w:r>
      <w:r>
        <w:rPr/>
        <w:t>in </w:t>
      </w:r>
      <w:r>
        <w:rPr>
          <w:spacing w:val="-3"/>
        </w:rPr>
        <w:t>this </w:t>
      </w:r>
      <w:r>
        <w:rPr>
          <w:spacing w:val="-4"/>
        </w:rPr>
        <w:t>sum </w:t>
      </w:r>
      <w:r>
        <w:rPr>
          <w:spacing w:val="-3"/>
        </w:rPr>
        <w:t>are </w:t>
      </w:r>
      <w:r>
        <w:rPr>
          <w:spacing w:val="-4"/>
        </w:rPr>
        <w:t>unfunded balances </w:t>
      </w:r>
      <w:r>
        <w:rPr>
          <w:spacing w:val="-3"/>
        </w:rPr>
        <w:t>totalling </w:t>
      </w:r>
      <w:r>
        <w:rPr>
          <w:spacing w:val="-4"/>
        </w:rPr>
        <w:t>€4.6m which include </w:t>
      </w:r>
      <w:r>
        <w:rPr/>
        <w:t>an </w:t>
      </w:r>
      <w:r>
        <w:rPr>
          <w:spacing w:val="-3"/>
        </w:rPr>
        <w:t>amount of </w:t>
      </w:r>
      <w:r>
        <w:rPr>
          <w:spacing w:val="-4"/>
        </w:rPr>
        <w:t>€2.5m </w:t>
      </w:r>
      <w:r>
        <w:rPr/>
        <w:t>in </w:t>
      </w:r>
      <w:r>
        <w:rPr>
          <w:spacing w:val="-5"/>
        </w:rPr>
        <w:t>respect </w:t>
      </w:r>
      <w:r>
        <w:rPr>
          <w:spacing w:val="-3"/>
        </w:rPr>
        <w:t>of land </w:t>
      </w:r>
      <w:r>
        <w:rPr>
          <w:spacing w:val="-4"/>
        </w:rPr>
        <w:t>purchases </w:t>
      </w:r>
      <w:r>
        <w:rPr>
          <w:spacing w:val="-3"/>
        </w:rPr>
        <w:t>and </w:t>
      </w:r>
      <w:r>
        <w:rPr>
          <w:spacing w:val="-4"/>
        </w:rPr>
        <w:t>development projects which have remained </w:t>
      </w:r>
      <w:r>
        <w:rPr>
          <w:spacing w:val="-3"/>
        </w:rPr>
        <w:t>static for </w:t>
      </w:r>
      <w:r>
        <w:rPr>
          <w:spacing w:val="-4"/>
        </w:rPr>
        <w:t>years.</w:t>
      </w:r>
    </w:p>
    <w:p>
      <w:pPr>
        <w:pStyle w:val="BodyText"/>
        <w:spacing w:before="1"/>
      </w:pPr>
    </w:p>
    <w:p>
      <w:pPr>
        <w:pStyle w:val="BodyText"/>
        <w:ind w:left="838"/>
      </w:pPr>
      <w:r>
        <w:rPr/>
        <w:t>Plans should be drawn up to fund these balances.</w:t>
      </w:r>
    </w:p>
    <w:p>
      <w:pPr>
        <w:pStyle w:val="BodyText"/>
        <w:spacing w:before="10"/>
        <w:rPr>
          <w:sz w:val="21"/>
        </w:rPr>
      </w:pPr>
    </w:p>
    <w:p>
      <w:pPr>
        <w:pStyle w:val="Heading2"/>
        <w:ind w:firstLine="0"/>
      </w:pPr>
      <w:r>
        <w:rPr/>
        <w:t>Chief Executive’s Response</w:t>
      </w:r>
    </w:p>
    <w:p>
      <w:pPr>
        <w:pStyle w:val="BodyText"/>
        <w:spacing w:before="10"/>
        <w:rPr>
          <w:b/>
          <w:sz w:val="21"/>
        </w:rPr>
      </w:pPr>
    </w:p>
    <w:p>
      <w:pPr>
        <w:pStyle w:val="BodyText"/>
        <w:ind w:left="838" w:right="208"/>
      </w:pPr>
      <w:r>
        <w:rPr/>
        <w:t>It is </w:t>
      </w:r>
      <w:r>
        <w:rPr>
          <w:spacing w:val="-4"/>
        </w:rPr>
        <w:t>proposed </w:t>
      </w:r>
      <w:r>
        <w:rPr/>
        <w:t>to </w:t>
      </w:r>
      <w:r>
        <w:rPr>
          <w:spacing w:val="-3"/>
        </w:rPr>
        <w:t>fund debit </w:t>
      </w:r>
      <w:r>
        <w:rPr>
          <w:spacing w:val="-4"/>
        </w:rPr>
        <w:t>balances </w:t>
      </w:r>
      <w:r>
        <w:rPr/>
        <w:t>in </w:t>
      </w:r>
      <w:r>
        <w:rPr>
          <w:spacing w:val="-4"/>
        </w:rPr>
        <w:t>respect </w:t>
      </w:r>
      <w:r>
        <w:rPr>
          <w:spacing w:val="-3"/>
        </w:rPr>
        <w:t>of land on </w:t>
      </w:r>
      <w:r>
        <w:rPr/>
        <w:t>the </w:t>
      </w:r>
      <w:r>
        <w:rPr>
          <w:spacing w:val="-4"/>
        </w:rPr>
        <w:t>disposal </w:t>
      </w:r>
      <w:r>
        <w:rPr>
          <w:spacing w:val="-3"/>
        </w:rPr>
        <w:t>of </w:t>
      </w:r>
      <w:r>
        <w:rPr>
          <w:spacing w:val="-4"/>
        </w:rPr>
        <w:t>land. </w:t>
      </w:r>
      <w:r>
        <w:rPr>
          <w:spacing w:val="-3"/>
        </w:rPr>
        <w:t>The </w:t>
      </w:r>
      <w:r>
        <w:rPr>
          <w:spacing w:val="-4"/>
        </w:rPr>
        <w:t>remaining </w:t>
      </w:r>
      <w:r>
        <w:rPr>
          <w:spacing w:val="-3"/>
        </w:rPr>
        <w:t>debit </w:t>
      </w:r>
      <w:r>
        <w:rPr>
          <w:spacing w:val="-4"/>
        </w:rPr>
        <w:t>balances </w:t>
      </w:r>
      <w:r>
        <w:rPr/>
        <w:t>will </w:t>
      </w:r>
      <w:r>
        <w:rPr>
          <w:spacing w:val="-3"/>
        </w:rPr>
        <w:t>be </w:t>
      </w:r>
      <w:r>
        <w:rPr>
          <w:spacing w:val="-4"/>
        </w:rPr>
        <w:t>funded principally from reserves.</w:t>
      </w:r>
    </w:p>
    <w:p>
      <w:pPr>
        <w:pStyle w:val="BodyText"/>
        <w:spacing w:before="1"/>
      </w:pPr>
    </w:p>
    <w:p>
      <w:pPr>
        <w:pStyle w:val="Heading2"/>
        <w:numPr>
          <w:ilvl w:val="1"/>
          <w:numId w:val="2"/>
        </w:numPr>
        <w:tabs>
          <w:tab w:pos="838" w:val="left" w:leader="none"/>
        </w:tabs>
        <w:spacing w:line="240" w:lineRule="auto" w:before="0" w:after="0"/>
        <w:ind w:left="838" w:right="0" w:hanging="720"/>
        <w:jc w:val="left"/>
      </w:pPr>
      <w:r>
        <w:rPr>
          <w:spacing w:val="-4"/>
        </w:rPr>
        <w:t>Butlersbridge </w:t>
      </w:r>
      <w:r>
        <w:rPr/>
        <w:t>/ </w:t>
      </w:r>
      <w:r>
        <w:rPr>
          <w:spacing w:val="-4"/>
        </w:rPr>
        <w:t>Belturbet </w:t>
      </w:r>
      <w:r>
        <w:rPr>
          <w:spacing w:val="-3"/>
        </w:rPr>
        <w:t>Road </w:t>
      </w:r>
      <w:r>
        <w:rPr>
          <w:spacing w:val="-4"/>
        </w:rPr>
        <w:t>Improvement</w:t>
      </w:r>
      <w:r>
        <w:rPr>
          <w:spacing w:val="13"/>
        </w:rPr>
        <w:t> </w:t>
      </w:r>
      <w:r>
        <w:rPr>
          <w:spacing w:val="-4"/>
        </w:rPr>
        <w:t>Scheme</w:t>
      </w:r>
    </w:p>
    <w:p>
      <w:pPr>
        <w:pStyle w:val="BodyText"/>
        <w:spacing w:before="11"/>
        <w:rPr>
          <w:b/>
          <w:sz w:val="21"/>
        </w:rPr>
      </w:pPr>
    </w:p>
    <w:p>
      <w:pPr>
        <w:pStyle w:val="BodyText"/>
        <w:ind w:left="838" w:right="170"/>
      </w:pPr>
      <w:r>
        <w:rPr/>
        <w:t>The approved tender contract for this scheme was €26m. However included in the final account received from the contractor was an amount of €25.4m over and above the approved tender price, which was disputed by the Council. €7.6m of this amount relates to a claim which went to conciliation in 2013. However as the conciliation process failed to bring the matter to a conclusion, an arbitration hearing took place in September 2015. In April 2016, the arbitrator gave his findings and directed that the contractor’s case be dismissed with the application of the award of costs to be reserved to a further hearing. Total costs incurred by the Council in respect of legal, consultancy and other services to the end of 2015 in relation to this claim are in excess of €2m.</w:t>
      </w:r>
    </w:p>
    <w:p>
      <w:pPr>
        <w:pStyle w:val="BodyText"/>
        <w:spacing w:before="10"/>
        <w:rPr>
          <w:sz w:val="21"/>
        </w:rPr>
      </w:pPr>
    </w:p>
    <w:p>
      <w:pPr>
        <w:pStyle w:val="Heading2"/>
        <w:ind w:firstLine="0"/>
      </w:pPr>
      <w:r>
        <w:rPr/>
        <w:t>Chief Executive’s Response</w:t>
      </w:r>
    </w:p>
    <w:p>
      <w:pPr>
        <w:pStyle w:val="BodyText"/>
        <w:spacing w:before="11"/>
        <w:rPr>
          <w:b/>
          <w:sz w:val="21"/>
        </w:rPr>
      </w:pPr>
    </w:p>
    <w:p>
      <w:pPr>
        <w:pStyle w:val="BodyText"/>
        <w:ind w:left="838" w:right="190"/>
      </w:pPr>
      <w:r>
        <w:rPr/>
        <w:t>In response to the arbitration findings, the contractor commenced proceedings in the High Court to set aside the partial award of the arbitrator. The case was admitted to the commercial list of the High Court and is set for a hearing in October 2016.</w:t>
      </w:r>
    </w:p>
    <w:p>
      <w:pPr>
        <w:spacing w:after="0"/>
        <w:sectPr>
          <w:pgSz w:w="11910" w:h="16840"/>
          <w:pgMar w:header="1442" w:footer="426" w:top="1660" w:bottom="620" w:left="1680" w:right="1680"/>
        </w:sectPr>
      </w:pPr>
    </w:p>
    <w:p>
      <w:pPr>
        <w:pStyle w:val="Heading2"/>
        <w:numPr>
          <w:ilvl w:val="0"/>
          <w:numId w:val="2"/>
        </w:numPr>
        <w:tabs>
          <w:tab w:pos="838" w:val="left" w:leader="none"/>
        </w:tabs>
        <w:spacing w:line="240" w:lineRule="auto" w:before="58" w:after="0"/>
        <w:ind w:left="838" w:right="0" w:hanging="720"/>
        <w:jc w:val="left"/>
      </w:pPr>
      <w:r>
        <w:rPr>
          <w:spacing w:val="-4"/>
        </w:rPr>
        <w:t>Transfer </w:t>
      </w:r>
      <w:r>
        <w:rPr/>
        <w:t>of </w:t>
      </w:r>
      <w:r>
        <w:rPr>
          <w:spacing w:val="-4"/>
        </w:rPr>
        <w:t>Water </w:t>
      </w:r>
      <w:r>
        <w:rPr>
          <w:spacing w:val="-3"/>
        </w:rPr>
        <w:t>and </w:t>
      </w:r>
      <w:r>
        <w:rPr>
          <w:spacing w:val="-4"/>
        </w:rPr>
        <w:t>Sewerage Functions </w:t>
      </w:r>
      <w:r>
        <w:rPr>
          <w:spacing w:val="-3"/>
        </w:rPr>
        <w:t>to Irish</w:t>
      </w:r>
      <w:r>
        <w:rPr>
          <w:spacing w:val="9"/>
        </w:rPr>
        <w:t> </w:t>
      </w:r>
      <w:r>
        <w:rPr>
          <w:spacing w:val="-4"/>
        </w:rPr>
        <w:t>Water</w:t>
      </w:r>
    </w:p>
    <w:p>
      <w:pPr>
        <w:pStyle w:val="BodyText"/>
        <w:spacing w:before="11"/>
        <w:rPr>
          <w:b/>
          <w:sz w:val="21"/>
        </w:rPr>
      </w:pPr>
    </w:p>
    <w:p>
      <w:pPr>
        <w:pStyle w:val="BodyText"/>
        <w:ind w:left="838" w:right="170"/>
      </w:pPr>
      <w:r>
        <w:rPr>
          <w:spacing w:val="-4"/>
        </w:rPr>
        <w:t>Issues </w:t>
      </w:r>
      <w:r>
        <w:rPr>
          <w:spacing w:val="-3"/>
        </w:rPr>
        <w:t>with </w:t>
      </w:r>
      <w:r>
        <w:rPr>
          <w:spacing w:val="-4"/>
        </w:rPr>
        <w:t>regard </w:t>
      </w:r>
      <w:r>
        <w:rPr/>
        <w:t>to </w:t>
      </w:r>
      <w:r>
        <w:rPr>
          <w:spacing w:val="-3"/>
        </w:rPr>
        <w:t>the </w:t>
      </w:r>
      <w:r>
        <w:rPr>
          <w:spacing w:val="-4"/>
        </w:rPr>
        <w:t>transfer </w:t>
      </w:r>
      <w:r>
        <w:rPr>
          <w:spacing w:val="-3"/>
        </w:rPr>
        <w:t>of title of </w:t>
      </w:r>
      <w:r>
        <w:rPr>
          <w:spacing w:val="-4"/>
        </w:rPr>
        <w:t>properties transferred </w:t>
      </w:r>
      <w:r>
        <w:rPr/>
        <w:t>to IW </w:t>
      </w:r>
      <w:r>
        <w:rPr>
          <w:spacing w:val="-4"/>
        </w:rPr>
        <w:t>including </w:t>
      </w:r>
      <w:r>
        <w:rPr/>
        <w:t>the </w:t>
      </w:r>
      <w:r>
        <w:rPr>
          <w:spacing w:val="-4"/>
        </w:rPr>
        <w:t>subdivision </w:t>
      </w:r>
      <w:r>
        <w:rPr>
          <w:spacing w:val="-3"/>
        </w:rPr>
        <w:t>of </w:t>
      </w:r>
      <w:r>
        <w:rPr>
          <w:spacing w:val="-4"/>
        </w:rPr>
        <w:t>folios, right </w:t>
      </w:r>
      <w:r>
        <w:rPr>
          <w:spacing w:val="-3"/>
        </w:rPr>
        <w:t>of way </w:t>
      </w:r>
      <w:r>
        <w:rPr>
          <w:spacing w:val="-4"/>
        </w:rPr>
        <w:t>issues </w:t>
      </w:r>
      <w:r>
        <w:rPr>
          <w:spacing w:val="-3"/>
        </w:rPr>
        <w:t>and sites </w:t>
      </w:r>
      <w:r>
        <w:rPr>
          <w:spacing w:val="-4"/>
        </w:rPr>
        <w:t>not registered </w:t>
      </w:r>
      <w:r>
        <w:rPr>
          <w:spacing w:val="-3"/>
        </w:rPr>
        <w:t>were </w:t>
      </w:r>
      <w:r>
        <w:rPr>
          <w:spacing w:val="-4"/>
        </w:rPr>
        <w:t>highlighted </w:t>
      </w:r>
      <w:r>
        <w:rPr>
          <w:spacing w:val="-3"/>
        </w:rPr>
        <w:t>at the </w:t>
      </w:r>
      <w:r>
        <w:rPr>
          <w:spacing w:val="-4"/>
        </w:rPr>
        <w:t>previous </w:t>
      </w:r>
      <w:r>
        <w:rPr>
          <w:spacing w:val="-3"/>
        </w:rPr>
        <w:t>audit. The </w:t>
      </w:r>
      <w:r>
        <w:rPr>
          <w:spacing w:val="-4"/>
        </w:rPr>
        <w:t>Council </w:t>
      </w:r>
      <w:r>
        <w:rPr/>
        <w:t>is </w:t>
      </w:r>
      <w:r>
        <w:rPr>
          <w:spacing w:val="-4"/>
        </w:rPr>
        <w:t>continuing </w:t>
      </w:r>
      <w:r>
        <w:rPr/>
        <w:t>to </w:t>
      </w:r>
      <w:r>
        <w:rPr>
          <w:spacing w:val="-4"/>
        </w:rPr>
        <w:t>work </w:t>
      </w:r>
      <w:r>
        <w:rPr/>
        <w:t>with IW in </w:t>
      </w:r>
      <w:r>
        <w:rPr>
          <w:spacing w:val="-4"/>
        </w:rPr>
        <w:t>order </w:t>
      </w:r>
      <w:r>
        <w:rPr/>
        <w:t>to </w:t>
      </w:r>
      <w:r>
        <w:rPr>
          <w:spacing w:val="-4"/>
        </w:rPr>
        <w:t>address these matters.</w:t>
      </w:r>
    </w:p>
    <w:p>
      <w:pPr>
        <w:pStyle w:val="BodyText"/>
        <w:spacing w:before="10"/>
        <w:rPr>
          <w:sz w:val="21"/>
        </w:rPr>
      </w:pPr>
    </w:p>
    <w:p>
      <w:pPr>
        <w:pStyle w:val="BodyText"/>
        <w:ind w:left="838"/>
      </w:pPr>
      <w:r>
        <w:rPr/>
        <w:t>A </w:t>
      </w:r>
      <w:r>
        <w:rPr>
          <w:spacing w:val="-4"/>
        </w:rPr>
        <w:t>balance </w:t>
      </w:r>
      <w:r>
        <w:rPr>
          <w:spacing w:val="-3"/>
        </w:rPr>
        <w:t>of </w:t>
      </w:r>
      <w:r>
        <w:rPr>
          <w:spacing w:val="-4"/>
        </w:rPr>
        <w:t>€5.93m due </w:t>
      </w:r>
      <w:r>
        <w:rPr/>
        <w:t>to the </w:t>
      </w:r>
      <w:r>
        <w:rPr>
          <w:spacing w:val="-4"/>
        </w:rPr>
        <w:t>Council from </w:t>
      </w:r>
      <w:r>
        <w:rPr/>
        <w:t>IW in </w:t>
      </w:r>
      <w:r>
        <w:rPr>
          <w:spacing w:val="-5"/>
        </w:rPr>
        <w:t>respect </w:t>
      </w:r>
      <w:r>
        <w:rPr>
          <w:spacing w:val="-3"/>
        </w:rPr>
        <w:t>of the </w:t>
      </w:r>
      <w:r>
        <w:rPr>
          <w:spacing w:val="-4"/>
        </w:rPr>
        <w:t>balancing statement agreed between both parties </w:t>
      </w:r>
      <w:r>
        <w:rPr>
          <w:spacing w:val="-3"/>
        </w:rPr>
        <w:t>was </w:t>
      </w:r>
      <w:r>
        <w:rPr>
          <w:spacing w:val="-4"/>
        </w:rPr>
        <w:t>cleared </w:t>
      </w:r>
      <w:r>
        <w:rPr/>
        <w:t>in </w:t>
      </w:r>
      <w:r>
        <w:rPr>
          <w:spacing w:val="-4"/>
        </w:rPr>
        <w:t>2015.</w:t>
      </w:r>
    </w:p>
    <w:p>
      <w:pPr>
        <w:pStyle w:val="BodyText"/>
        <w:spacing w:before="10"/>
        <w:rPr>
          <w:sz w:val="21"/>
        </w:rPr>
      </w:pPr>
    </w:p>
    <w:p>
      <w:pPr>
        <w:pStyle w:val="Heading2"/>
        <w:ind w:firstLine="0"/>
      </w:pPr>
      <w:r>
        <w:rPr/>
        <w:t>Chief Executive’s Response</w:t>
      </w:r>
    </w:p>
    <w:p>
      <w:pPr>
        <w:pStyle w:val="BodyText"/>
        <w:spacing w:before="1"/>
        <w:rPr>
          <w:b/>
        </w:rPr>
      </w:pPr>
    </w:p>
    <w:p>
      <w:pPr>
        <w:pStyle w:val="BodyText"/>
        <w:ind w:left="838" w:right="531"/>
      </w:pPr>
      <w:r>
        <w:rPr/>
        <w:t>Work is ongoing with IW in the process of the transfer of assets to IW and the Council has allocated the necessary resources to complete the process as soon as practicable.</w:t>
      </w:r>
    </w:p>
    <w:p>
      <w:pPr>
        <w:pStyle w:val="BodyText"/>
        <w:spacing w:before="11"/>
        <w:rPr>
          <w:sz w:val="21"/>
        </w:rPr>
      </w:pPr>
    </w:p>
    <w:p>
      <w:pPr>
        <w:pStyle w:val="Heading2"/>
        <w:numPr>
          <w:ilvl w:val="0"/>
          <w:numId w:val="2"/>
        </w:numPr>
        <w:tabs>
          <w:tab w:pos="838" w:val="left" w:leader="none"/>
        </w:tabs>
        <w:spacing w:line="240" w:lineRule="auto" w:before="0" w:after="0"/>
        <w:ind w:left="838" w:right="0" w:hanging="720"/>
        <w:jc w:val="left"/>
      </w:pPr>
      <w:r>
        <w:rPr>
          <w:spacing w:val="-4"/>
        </w:rPr>
        <w:t>Procurement</w:t>
      </w:r>
    </w:p>
    <w:p>
      <w:pPr>
        <w:pStyle w:val="BodyText"/>
        <w:spacing w:before="1"/>
        <w:rPr>
          <w:b/>
        </w:rPr>
      </w:pPr>
    </w:p>
    <w:p>
      <w:pPr>
        <w:pStyle w:val="ListParagraph"/>
        <w:numPr>
          <w:ilvl w:val="1"/>
          <w:numId w:val="2"/>
        </w:numPr>
        <w:tabs>
          <w:tab w:pos="838" w:val="left" w:leader="none"/>
        </w:tabs>
        <w:spacing w:line="240" w:lineRule="auto" w:before="0" w:after="0"/>
        <w:ind w:left="838" w:right="0" w:hanging="720"/>
        <w:jc w:val="left"/>
        <w:rPr>
          <w:b/>
          <w:sz w:val="22"/>
        </w:rPr>
      </w:pPr>
      <w:r>
        <w:rPr>
          <w:b/>
          <w:spacing w:val="-4"/>
          <w:sz w:val="22"/>
        </w:rPr>
        <w:t>Procurement </w:t>
      </w:r>
      <w:r>
        <w:rPr>
          <w:b/>
          <w:sz w:val="22"/>
        </w:rPr>
        <w:t>of </w:t>
      </w:r>
      <w:r>
        <w:rPr>
          <w:b/>
          <w:spacing w:val="-4"/>
          <w:sz w:val="22"/>
        </w:rPr>
        <w:t>Contractors </w:t>
      </w:r>
      <w:r>
        <w:rPr>
          <w:b/>
          <w:sz w:val="22"/>
        </w:rPr>
        <w:t>for </w:t>
      </w:r>
      <w:r>
        <w:rPr>
          <w:b/>
          <w:spacing w:val="-3"/>
          <w:sz w:val="22"/>
        </w:rPr>
        <w:t>the </w:t>
      </w:r>
      <w:r>
        <w:rPr>
          <w:b/>
          <w:spacing w:val="-4"/>
          <w:sz w:val="22"/>
        </w:rPr>
        <w:t>Remediation </w:t>
      </w:r>
      <w:r>
        <w:rPr>
          <w:b/>
          <w:sz w:val="22"/>
        </w:rPr>
        <w:t>of </w:t>
      </w:r>
      <w:r>
        <w:rPr>
          <w:b/>
          <w:spacing w:val="-4"/>
          <w:sz w:val="22"/>
        </w:rPr>
        <w:t>Kingscourt </w:t>
      </w:r>
      <w:r>
        <w:rPr>
          <w:b/>
          <w:spacing w:val="-3"/>
          <w:sz w:val="22"/>
        </w:rPr>
        <w:t>and </w:t>
      </w:r>
      <w:r>
        <w:rPr>
          <w:b/>
          <w:spacing w:val="-4"/>
          <w:sz w:val="22"/>
        </w:rPr>
        <w:t>Cootehill Landfill</w:t>
      </w:r>
      <w:r>
        <w:rPr>
          <w:b/>
          <w:sz w:val="22"/>
        </w:rPr>
        <w:t> </w:t>
      </w:r>
      <w:r>
        <w:rPr>
          <w:b/>
          <w:spacing w:val="-4"/>
          <w:sz w:val="22"/>
        </w:rPr>
        <w:t>Sites</w:t>
      </w:r>
    </w:p>
    <w:p>
      <w:pPr>
        <w:pStyle w:val="BodyText"/>
        <w:spacing w:before="10"/>
        <w:rPr>
          <w:b/>
          <w:sz w:val="21"/>
        </w:rPr>
      </w:pPr>
    </w:p>
    <w:p>
      <w:pPr>
        <w:pStyle w:val="BodyText"/>
        <w:ind w:left="838" w:right="902"/>
      </w:pPr>
      <w:r>
        <w:rPr/>
        <w:t>The following was noted with regard to the engaging of contractors to carry out works associated with the remediation of Kingscourt / Cootehill landfill sites:</w:t>
      </w:r>
    </w:p>
    <w:p>
      <w:pPr>
        <w:pStyle w:val="BodyText"/>
        <w:spacing w:before="8"/>
        <w:rPr>
          <w:sz w:val="23"/>
        </w:rPr>
      </w:pPr>
    </w:p>
    <w:p>
      <w:pPr>
        <w:pStyle w:val="ListParagraph"/>
        <w:numPr>
          <w:ilvl w:val="2"/>
          <w:numId w:val="2"/>
        </w:numPr>
        <w:tabs>
          <w:tab w:pos="1558" w:val="left" w:leader="none"/>
        </w:tabs>
        <w:spacing w:line="252" w:lineRule="exact" w:before="0" w:after="0"/>
        <w:ind w:left="1558" w:right="309" w:hanging="360"/>
        <w:jc w:val="both"/>
        <w:rPr>
          <w:sz w:val="22"/>
        </w:rPr>
      </w:pPr>
      <w:r>
        <w:rPr>
          <w:sz w:val="22"/>
        </w:rPr>
        <w:t>The Council engaged the services of a contractor to carry out capping works. Public procurement guidelines were not complied with in the awarding of this contract. The e-tenders process should have been engaged, seeking expressions of interest</w:t>
      </w:r>
      <w:r>
        <w:rPr>
          <w:spacing w:val="-25"/>
          <w:sz w:val="22"/>
        </w:rPr>
        <w:t> </w:t>
      </w:r>
      <w:r>
        <w:rPr>
          <w:sz w:val="22"/>
        </w:rPr>
        <w:t>from</w:t>
      </w:r>
    </w:p>
    <w:p>
      <w:pPr>
        <w:pStyle w:val="BodyText"/>
        <w:ind w:left="1558" w:right="147"/>
        <w:jc w:val="both"/>
      </w:pPr>
      <w:r>
        <w:rPr/>
        <w:t>contractors who held the necessary expertise in the provision of these works. Instead, quotations were sought from three individual contractors. The contractor selected was paid a total of €208k to carry out these works.</w:t>
      </w:r>
    </w:p>
    <w:p>
      <w:pPr>
        <w:pStyle w:val="BodyText"/>
        <w:spacing w:before="7"/>
        <w:rPr>
          <w:sz w:val="25"/>
        </w:rPr>
      </w:pPr>
    </w:p>
    <w:p>
      <w:pPr>
        <w:pStyle w:val="ListParagraph"/>
        <w:numPr>
          <w:ilvl w:val="2"/>
          <w:numId w:val="2"/>
        </w:numPr>
        <w:tabs>
          <w:tab w:pos="1537" w:val="left" w:leader="none"/>
        </w:tabs>
        <w:spacing w:line="235" w:lineRule="auto" w:before="0" w:after="0"/>
        <w:ind w:left="1536" w:right="144" w:hanging="360"/>
        <w:jc w:val="left"/>
        <w:rPr>
          <w:sz w:val="22"/>
        </w:rPr>
      </w:pPr>
      <w:r>
        <w:rPr>
          <w:sz w:val="22"/>
        </w:rPr>
        <w:t>The Council employed the services of a contractor who was paid €86k for the provision of gravel/transportation of materials. Quotations were sought from only three individual contractors for the provision of this service in lieu of advertising through the e-tenders</w:t>
      </w:r>
      <w:r>
        <w:rPr>
          <w:spacing w:val="-6"/>
          <w:sz w:val="22"/>
        </w:rPr>
        <w:t> </w:t>
      </w:r>
      <w:r>
        <w:rPr>
          <w:sz w:val="22"/>
        </w:rPr>
        <w:t>process.</w:t>
      </w:r>
    </w:p>
    <w:p>
      <w:pPr>
        <w:pStyle w:val="BodyText"/>
      </w:pPr>
    </w:p>
    <w:p>
      <w:pPr>
        <w:pStyle w:val="Heading2"/>
        <w:ind w:firstLine="0"/>
      </w:pPr>
      <w:r>
        <w:rPr/>
        <w:t>Chief Executive’s Response</w:t>
      </w:r>
    </w:p>
    <w:p>
      <w:pPr>
        <w:pStyle w:val="BodyText"/>
        <w:spacing w:before="10"/>
        <w:rPr>
          <w:b/>
          <w:sz w:val="21"/>
        </w:rPr>
      </w:pPr>
    </w:p>
    <w:p>
      <w:pPr>
        <w:pStyle w:val="BodyText"/>
        <w:ind w:left="838" w:right="119"/>
      </w:pPr>
      <w:r>
        <w:rPr/>
        <w:t>As there were a limited number of contractors with necessary expertise available to carry out capping works three quotations were sought and a contractor selected from quotations received. In future for works above the appropriate threshold the e-tender process will be used.</w:t>
      </w:r>
    </w:p>
    <w:p>
      <w:pPr>
        <w:pStyle w:val="BodyText"/>
        <w:spacing w:before="11"/>
        <w:rPr>
          <w:sz w:val="21"/>
        </w:rPr>
      </w:pPr>
    </w:p>
    <w:p>
      <w:pPr>
        <w:pStyle w:val="BodyText"/>
        <w:ind w:left="838" w:right="315"/>
      </w:pPr>
      <w:r>
        <w:rPr/>
        <w:t>With reference to the supply of gravel/transportation of materials, the quantities of materials were under estimated at the time of placing the contract and it was felt that the thresholds for e-tenders would not be reached and accordingly three quotations were sought. In future, for works above the appropriate threshold the e-tender process will be used.</w:t>
      </w:r>
    </w:p>
    <w:p>
      <w:pPr>
        <w:pStyle w:val="BodyText"/>
        <w:spacing w:before="10"/>
        <w:rPr>
          <w:sz w:val="21"/>
        </w:rPr>
      </w:pPr>
    </w:p>
    <w:p>
      <w:pPr>
        <w:pStyle w:val="Heading2"/>
        <w:numPr>
          <w:ilvl w:val="1"/>
          <w:numId w:val="2"/>
        </w:numPr>
        <w:tabs>
          <w:tab w:pos="838" w:val="left" w:leader="none"/>
        </w:tabs>
        <w:spacing w:line="240" w:lineRule="auto" w:before="0" w:after="0"/>
        <w:ind w:left="838" w:right="0" w:hanging="720"/>
        <w:jc w:val="left"/>
      </w:pPr>
      <w:r>
        <w:rPr>
          <w:spacing w:val="-4"/>
        </w:rPr>
        <w:t>General</w:t>
      </w:r>
    </w:p>
    <w:p>
      <w:pPr>
        <w:pStyle w:val="BodyText"/>
        <w:spacing w:before="10"/>
        <w:rPr>
          <w:b/>
          <w:sz w:val="21"/>
        </w:rPr>
      </w:pPr>
    </w:p>
    <w:p>
      <w:pPr>
        <w:pStyle w:val="BodyText"/>
        <w:ind w:left="838" w:right="208"/>
      </w:pPr>
      <w:r>
        <w:rPr>
          <w:spacing w:val="-4"/>
        </w:rPr>
        <w:t>Chief executive’s orders </w:t>
      </w:r>
      <w:r>
        <w:rPr>
          <w:spacing w:val="-3"/>
        </w:rPr>
        <w:t>were not </w:t>
      </w:r>
      <w:r>
        <w:rPr>
          <w:spacing w:val="-4"/>
        </w:rPr>
        <w:t>prepared </w:t>
      </w:r>
      <w:r>
        <w:rPr/>
        <w:t>in </w:t>
      </w:r>
      <w:r>
        <w:rPr>
          <w:spacing w:val="-3"/>
        </w:rPr>
        <w:t>some </w:t>
      </w:r>
      <w:r>
        <w:rPr>
          <w:spacing w:val="-4"/>
        </w:rPr>
        <w:t>cases </w:t>
      </w:r>
      <w:r>
        <w:rPr>
          <w:spacing w:val="-3"/>
        </w:rPr>
        <w:t>for </w:t>
      </w:r>
      <w:r>
        <w:rPr/>
        <w:t>the </w:t>
      </w:r>
      <w:r>
        <w:rPr>
          <w:spacing w:val="-4"/>
        </w:rPr>
        <w:t>acceptance </w:t>
      </w:r>
      <w:r>
        <w:rPr>
          <w:spacing w:val="-3"/>
        </w:rPr>
        <w:t>of </w:t>
      </w:r>
      <w:r>
        <w:rPr>
          <w:spacing w:val="-4"/>
        </w:rPr>
        <w:t>tenders. </w:t>
      </w:r>
      <w:r>
        <w:rPr/>
        <w:t>In </w:t>
      </w:r>
      <w:r>
        <w:rPr>
          <w:spacing w:val="-4"/>
        </w:rPr>
        <w:t>accordance </w:t>
      </w:r>
      <w:r>
        <w:rPr>
          <w:spacing w:val="-3"/>
        </w:rPr>
        <w:t>with </w:t>
      </w:r>
      <w:r>
        <w:rPr>
          <w:spacing w:val="-4"/>
        </w:rPr>
        <w:t>section </w:t>
      </w:r>
      <w:r>
        <w:rPr>
          <w:spacing w:val="-3"/>
        </w:rPr>
        <w:t>151 of the </w:t>
      </w:r>
      <w:r>
        <w:rPr>
          <w:spacing w:val="-4"/>
        </w:rPr>
        <w:t>Local Government </w:t>
      </w:r>
      <w:r>
        <w:rPr>
          <w:spacing w:val="-3"/>
        </w:rPr>
        <w:t>Act 2001, </w:t>
      </w:r>
      <w:r>
        <w:rPr/>
        <w:t>a </w:t>
      </w:r>
      <w:r>
        <w:rPr>
          <w:spacing w:val="-4"/>
        </w:rPr>
        <w:t>chief executive’s </w:t>
      </w:r>
      <w:r>
        <w:rPr>
          <w:spacing w:val="-3"/>
        </w:rPr>
        <w:t>order should be </w:t>
      </w:r>
      <w:r>
        <w:rPr>
          <w:spacing w:val="-4"/>
        </w:rPr>
        <w:t>prepared </w:t>
      </w:r>
      <w:r>
        <w:rPr>
          <w:spacing w:val="-3"/>
        </w:rPr>
        <w:t>when </w:t>
      </w:r>
      <w:r>
        <w:rPr/>
        <w:t>a </w:t>
      </w:r>
      <w:r>
        <w:rPr>
          <w:spacing w:val="-3"/>
        </w:rPr>
        <w:t>tender </w:t>
      </w:r>
      <w:r>
        <w:rPr/>
        <w:t>is </w:t>
      </w:r>
      <w:r>
        <w:rPr>
          <w:spacing w:val="-4"/>
        </w:rPr>
        <w:t>accepted.</w:t>
      </w:r>
    </w:p>
    <w:p>
      <w:pPr>
        <w:pStyle w:val="BodyText"/>
        <w:spacing w:before="10"/>
        <w:rPr>
          <w:sz w:val="21"/>
        </w:rPr>
      </w:pPr>
    </w:p>
    <w:p>
      <w:pPr>
        <w:pStyle w:val="Heading2"/>
        <w:ind w:firstLine="0"/>
      </w:pPr>
      <w:r>
        <w:rPr/>
        <w:t>Chief Executive’s Response</w:t>
      </w:r>
    </w:p>
    <w:p>
      <w:pPr>
        <w:pStyle w:val="BodyText"/>
        <w:spacing w:before="11"/>
        <w:rPr>
          <w:b/>
          <w:sz w:val="21"/>
        </w:rPr>
      </w:pPr>
    </w:p>
    <w:p>
      <w:pPr>
        <w:pStyle w:val="BodyText"/>
        <w:ind w:left="838"/>
      </w:pPr>
      <w:r>
        <w:rPr/>
        <w:t>A chief executive’s order will be prepared for acceptance of tenders in future.</w:t>
      </w:r>
    </w:p>
    <w:p>
      <w:pPr>
        <w:spacing w:after="0"/>
        <w:sectPr>
          <w:headerReference w:type="default" r:id="rId9"/>
          <w:footerReference w:type="default" r:id="rId10"/>
          <w:pgSz w:w="11910" w:h="16840"/>
          <w:pgMar w:header="0" w:footer="426" w:top="1340" w:bottom="620" w:left="1680" w:right="1680"/>
          <w:pgNumType w:start="4"/>
        </w:sectPr>
      </w:pPr>
    </w:p>
    <w:p>
      <w:pPr>
        <w:pStyle w:val="Heading2"/>
        <w:numPr>
          <w:ilvl w:val="0"/>
          <w:numId w:val="2"/>
        </w:numPr>
        <w:tabs>
          <w:tab w:pos="838" w:val="left" w:leader="none"/>
        </w:tabs>
        <w:spacing w:line="240" w:lineRule="auto" w:before="58" w:after="0"/>
        <w:ind w:left="838" w:right="0" w:hanging="720"/>
        <w:jc w:val="left"/>
      </w:pPr>
      <w:r>
        <w:rPr>
          <w:spacing w:val="-4"/>
        </w:rPr>
        <w:t>Ethics</w:t>
      </w:r>
      <w:r>
        <w:rPr>
          <w:spacing w:val="6"/>
        </w:rPr>
        <w:t> </w:t>
      </w:r>
      <w:r>
        <w:rPr>
          <w:spacing w:val="-4"/>
        </w:rPr>
        <w:t>Register</w:t>
      </w:r>
    </w:p>
    <w:p>
      <w:pPr>
        <w:pStyle w:val="BodyText"/>
        <w:spacing w:before="11"/>
        <w:rPr>
          <w:b/>
          <w:sz w:val="21"/>
        </w:rPr>
      </w:pPr>
    </w:p>
    <w:p>
      <w:pPr>
        <w:pStyle w:val="BodyText"/>
        <w:ind w:left="838" w:right="116"/>
      </w:pPr>
      <w:r>
        <w:rPr/>
        <w:t>A </w:t>
      </w:r>
      <w:r>
        <w:rPr>
          <w:spacing w:val="-4"/>
        </w:rPr>
        <w:t>number </w:t>
      </w:r>
      <w:r>
        <w:rPr>
          <w:spacing w:val="-3"/>
        </w:rPr>
        <w:t>of </w:t>
      </w:r>
      <w:r>
        <w:rPr>
          <w:spacing w:val="-4"/>
        </w:rPr>
        <w:t>annual declarations </w:t>
      </w:r>
      <w:r>
        <w:rPr>
          <w:spacing w:val="-3"/>
        </w:rPr>
        <w:t>were not </w:t>
      </w:r>
      <w:r>
        <w:rPr>
          <w:spacing w:val="-4"/>
        </w:rPr>
        <w:t>returned </w:t>
      </w:r>
      <w:r>
        <w:rPr>
          <w:spacing w:val="-3"/>
        </w:rPr>
        <w:t>within the </w:t>
      </w:r>
      <w:r>
        <w:rPr>
          <w:spacing w:val="-4"/>
        </w:rPr>
        <w:t>required timeframe. Furthermore </w:t>
      </w:r>
      <w:r>
        <w:rPr>
          <w:spacing w:val="-3"/>
        </w:rPr>
        <w:t>some </w:t>
      </w:r>
      <w:r>
        <w:rPr>
          <w:spacing w:val="-4"/>
        </w:rPr>
        <w:t>declarations returned </w:t>
      </w:r>
      <w:r>
        <w:rPr>
          <w:spacing w:val="-3"/>
        </w:rPr>
        <w:t>were </w:t>
      </w:r>
      <w:r>
        <w:rPr>
          <w:spacing w:val="-4"/>
        </w:rPr>
        <w:t>incomplete. </w:t>
      </w:r>
      <w:r>
        <w:rPr/>
        <w:t>In </w:t>
      </w:r>
      <w:r>
        <w:rPr>
          <w:spacing w:val="-4"/>
        </w:rPr>
        <w:t>accordance </w:t>
      </w:r>
      <w:r>
        <w:rPr>
          <w:spacing w:val="-3"/>
        </w:rPr>
        <w:t>with </w:t>
      </w:r>
      <w:r>
        <w:rPr>
          <w:spacing w:val="-4"/>
        </w:rPr>
        <w:t>Part </w:t>
      </w:r>
      <w:r>
        <w:rPr>
          <w:spacing w:val="-3"/>
        </w:rPr>
        <w:t>15, </w:t>
      </w:r>
      <w:r>
        <w:rPr>
          <w:spacing w:val="-4"/>
        </w:rPr>
        <w:t>Section </w:t>
      </w:r>
      <w:r>
        <w:rPr/>
        <w:t>171 </w:t>
      </w:r>
      <w:r>
        <w:rPr>
          <w:spacing w:val="-3"/>
        </w:rPr>
        <w:t>of the Local </w:t>
      </w:r>
      <w:r>
        <w:rPr>
          <w:spacing w:val="-4"/>
        </w:rPr>
        <w:t>Government </w:t>
      </w:r>
      <w:r>
        <w:rPr>
          <w:spacing w:val="-3"/>
        </w:rPr>
        <w:t>Act, </w:t>
      </w:r>
      <w:r>
        <w:rPr>
          <w:spacing w:val="-4"/>
        </w:rPr>
        <w:t>2001 </w:t>
      </w:r>
      <w:r>
        <w:rPr>
          <w:spacing w:val="-3"/>
        </w:rPr>
        <w:t>these </w:t>
      </w:r>
      <w:r>
        <w:rPr>
          <w:spacing w:val="-4"/>
        </w:rPr>
        <w:t>declarations </w:t>
      </w:r>
      <w:r>
        <w:rPr>
          <w:spacing w:val="-3"/>
        </w:rPr>
        <w:t>should be </w:t>
      </w:r>
      <w:r>
        <w:rPr>
          <w:spacing w:val="-4"/>
        </w:rPr>
        <w:t>furnished </w:t>
      </w:r>
      <w:r>
        <w:rPr/>
        <w:t>to </w:t>
      </w:r>
      <w:r>
        <w:rPr>
          <w:spacing w:val="-3"/>
        </w:rPr>
        <w:t>the </w:t>
      </w:r>
      <w:r>
        <w:rPr>
          <w:spacing w:val="-4"/>
        </w:rPr>
        <w:t>ethics registrar </w:t>
      </w:r>
      <w:r>
        <w:rPr>
          <w:spacing w:val="-3"/>
        </w:rPr>
        <w:t>within the </w:t>
      </w:r>
      <w:r>
        <w:rPr>
          <w:spacing w:val="-4"/>
        </w:rPr>
        <w:t>required timeframe. Returned declaration </w:t>
      </w:r>
      <w:r>
        <w:rPr>
          <w:spacing w:val="-3"/>
        </w:rPr>
        <w:t>forms should be fully </w:t>
      </w:r>
      <w:r>
        <w:rPr>
          <w:spacing w:val="-4"/>
        </w:rPr>
        <w:t>completed.</w:t>
      </w:r>
    </w:p>
    <w:p>
      <w:pPr>
        <w:pStyle w:val="BodyText"/>
        <w:spacing w:before="10"/>
        <w:rPr>
          <w:sz w:val="21"/>
        </w:rPr>
      </w:pPr>
    </w:p>
    <w:p>
      <w:pPr>
        <w:pStyle w:val="Heading2"/>
        <w:ind w:firstLine="0"/>
      </w:pPr>
      <w:r>
        <w:rPr/>
        <w:t>Chief Executive’s Response</w:t>
      </w:r>
    </w:p>
    <w:p>
      <w:pPr>
        <w:pStyle w:val="BodyText"/>
        <w:spacing w:before="10"/>
        <w:rPr>
          <w:b/>
          <w:sz w:val="21"/>
        </w:rPr>
      </w:pPr>
    </w:p>
    <w:p>
      <w:pPr>
        <w:pStyle w:val="BodyText"/>
        <w:ind w:left="838" w:right="208"/>
      </w:pPr>
      <w:r>
        <w:rPr>
          <w:spacing w:val="-3"/>
        </w:rPr>
        <w:t>The </w:t>
      </w:r>
      <w:r>
        <w:rPr>
          <w:spacing w:val="-4"/>
        </w:rPr>
        <w:t>comments </w:t>
      </w:r>
      <w:r>
        <w:rPr>
          <w:spacing w:val="-3"/>
        </w:rPr>
        <w:t>of </w:t>
      </w:r>
      <w:r>
        <w:rPr/>
        <w:t>the </w:t>
      </w:r>
      <w:r>
        <w:rPr>
          <w:spacing w:val="-4"/>
        </w:rPr>
        <w:t>Local Government Auditor </w:t>
      </w:r>
      <w:r>
        <w:rPr>
          <w:spacing w:val="-3"/>
        </w:rPr>
        <w:t>are </w:t>
      </w:r>
      <w:r>
        <w:rPr>
          <w:spacing w:val="-4"/>
        </w:rPr>
        <w:t>acknowledged. </w:t>
      </w:r>
      <w:r>
        <w:rPr>
          <w:spacing w:val="-3"/>
        </w:rPr>
        <w:t>Staff </w:t>
      </w:r>
      <w:r>
        <w:rPr>
          <w:spacing w:val="-4"/>
        </w:rPr>
        <w:t>and </w:t>
      </w:r>
      <w:r>
        <w:rPr>
          <w:spacing w:val="-3"/>
        </w:rPr>
        <w:t>elected </w:t>
      </w:r>
      <w:r>
        <w:rPr>
          <w:spacing w:val="-4"/>
        </w:rPr>
        <w:t>members </w:t>
      </w:r>
      <w:r>
        <w:rPr>
          <w:spacing w:val="-3"/>
        </w:rPr>
        <w:t>have </w:t>
      </w:r>
      <w:r>
        <w:rPr>
          <w:spacing w:val="-4"/>
        </w:rPr>
        <w:t>received briefings </w:t>
      </w:r>
      <w:r>
        <w:rPr>
          <w:spacing w:val="-3"/>
        </w:rPr>
        <w:t>on </w:t>
      </w:r>
      <w:r>
        <w:rPr/>
        <w:t>the </w:t>
      </w:r>
      <w:r>
        <w:rPr>
          <w:spacing w:val="-4"/>
        </w:rPr>
        <w:t>importance </w:t>
      </w:r>
      <w:r>
        <w:rPr>
          <w:spacing w:val="-3"/>
        </w:rPr>
        <w:t>of full </w:t>
      </w:r>
      <w:r>
        <w:rPr>
          <w:spacing w:val="-4"/>
        </w:rPr>
        <w:t>compliance </w:t>
      </w:r>
      <w:r>
        <w:rPr>
          <w:spacing w:val="-3"/>
        </w:rPr>
        <w:t>with these </w:t>
      </w:r>
      <w:r>
        <w:rPr>
          <w:spacing w:val="-4"/>
        </w:rPr>
        <w:t>regulations. </w:t>
      </w:r>
      <w:r>
        <w:rPr>
          <w:spacing w:val="-3"/>
        </w:rPr>
        <w:t>The </w:t>
      </w:r>
      <w:r>
        <w:rPr>
          <w:spacing w:val="-4"/>
        </w:rPr>
        <w:t>Ethics Registrar </w:t>
      </w:r>
      <w:r>
        <w:rPr>
          <w:spacing w:val="-3"/>
        </w:rPr>
        <w:t>has since </w:t>
      </w:r>
      <w:r>
        <w:rPr>
          <w:spacing w:val="-4"/>
        </w:rPr>
        <w:t>received </w:t>
      </w:r>
      <w:r>
        <w:rPr>
          <w:spacing w:val="-3"/>
        </w:rPr>
        <w:t>fully </w:t>
      </w:r>
      <w:r>
        <w:rPr>
          <w:spacing w:val="-4"/>
        </w:rPr>
        <w:t>completed declarations </w:t>
      </w:r>
      <w:r>
        <w:rPr>
          <w:spacing w:val="-3"/>
        </w:rPr>
        <w:t>from all </w:t>
      </w:r>
      <w:r>
        <w:rPr>
          <w:spacing w:val="-4"/>
        </w:rPr>
        <w:t>individuals required </w:t>
      </w:r>
      <w:r>
        <w:rPr/>
        <w:t>to </w:t>
      </w:r>
      <w:r>
        <w:rPr>
          <w:spacing w:val="-3"/>
        </w:rPr>
        <w:t>submit </w:t>
      </w:r>
      <w:r>
        <w:rPr>
          <w:spacing w:val="-4"/>
        </w:rPr>
        <w:t>same. </w:t>
      </w:r>
      <w:r>
        <w:rPr/>
        <w:t>In </w:t>
      </w:r>
      <w:r>
        <w:rPr>
          <w:spacing w:val="-4"/>
        </w:rPr>
        <w:t>future </w:t>
      </w:r>
      <w:r>
        <w:rPr>
          <w:spacing w:val="-3"/>
        </w:rPr>
        <w:t>all </w:t>
      </w:r>
      <w:r>
        <w:rPr>
          <w:spacing w:val="-4"/>
        </w:rPr>
        <w:t>declarations </w:t>
      </w:r>
      <w:r>
        <w:rPr>
          <w:spacing w:val="-3"/>
        </w:rPr>
        <w:t>will be </w:t>
      </w:r>
      <w:r>
        <w:rPr>
          <w:spacing w:val="-4"/>
        </w:rPr>
        <w:t>checked </w:t>
      </w:r>
      <w:r>
        <w:rPr/>
        <w:t>to </w:t>
      </w:r>
      <w:r>
        <w:rPr>
          <w:spacing w:val="-3"/>
        </w:rPr>
        <w:t>ensure </w:t>
      </w:r>
      <w:r>
        <w:rPr>
          <w:spacing w:val="-4"/>
        </w:rPr>
        <w:t>that they </w:t>
      </w:r>
      <w:r>
        <w:rPr>
          <w:spacing w:val="-3"/>
        </w:rPr>
        <w:t>are fully </w:t>
      </w:r>
      <w:r>
        <w:rPr>
          <w:spacing w:val="-4"/>
        </w:rPr>
        <w:t>completed.</w:t>
      </w:r>
    </w:p>
    <w:p>
      <w:pPr>
        <w:pStyle w:val="BodyText"/>
        <w:spacing w:before="11"/>
        <w:rPr>
          <w:sz w:val="21"/>
        </w:rPr>
      </w:pPr>
    </w:p>
    <w:p>
      <w:pPr>
        <w:pStyle w:val="Heading2"/>
        <w:numPr>
          <w:ilvl w:val="0"/>
          <w:numId w:val="2"/>
        </w:numPr>
        <w:tabs>
          <w:tab w:pos="838" w:val="left" w:leader="none"/>
        </w:tabs>
        <w:spacing w:line="240" w:lineRule="auto" w:before="0" w:after="0"/>
        <w:ind w:left="838" w:right="0" w:hanging="720"/>
        <w:jc w:val="left"/>
      </w:pPr>
      <w:r>
        <w:rPr>
          <w:spacing w:val="-4"/>
        </w:rPr>
        <w:t>Capital Assistance Scheme</w:t>
      </w:r>
      <w:r>
        <w:rPr>
          <w:spacing w:val="11"/>
        </w:rPr>
        <w:t> </w:t>
      </w:r>
      <w:r>
        <w:rPr>
          <w:spacing w:val="-3"/>
        </w:rPr>
        <w:t>Grants</w:t>
      </w:r>
    </w:p>
    <w:p>
      <w:pPr>
        <w:pStyle w:val="BodyText"/>
        <w:spacing w:before="1"/>
        <w:rPr>
          <w:b/>
        </w:rPr>
      </w:pPr>
    </w:p>
    <w:p>
      <w:pPr>
        <w:pStyle w:val="BodyText"/>
        <w:ind w:left="838" w:right="208"/>
      </w:pPr>
      <w:r>
        <w:rPr/>
        <w:t>It </w:t>
      </w:r>
      <w:r>
        <w:rPr>
          <w:spacing w:val="-3"/>
        </w:rPr>
        <w:t>was </w:t>
      </w:r>
      <w:r>
        <w:rPr>
          <w:spacing w:val="-4"/>
        </w:rPr>
        <w:t>highlighted </w:t>
      </w:r>
      <w:r>
        <w:rPr>
          <w:spacing w:val="-3"/>
        </w:rPr>
        <w:t>at the </w:t>
      </w:r>
      <w:r>
        <w:rPr>
          <w:spacing w:val="-4"/>
        </w:rPr>
        <w:t>previous </w:t>
      </w:r>
      <w:r>
        <w:rPr>
          <w:spacing w:val="-3"/>
        </w:rPr>
        <w:t>audit </w:t>
      </w:r>
      <w:r>
        <w:rPr>
          <w:spacing w:val="-4"/>
        </w:rPr>
        <w:t>that </w:t>
      </w:r>
      <w:r>
        <w:rPr/>
        <w:t>in </w:t>
      </w:r>
      <w:r>
        <w:rPr>
          <w:spacing w:val="-4"/>
        </w:rPr>
        <w:t>December </w:t>
      </w:r>
      <w:r>
        <w:rPr>
          <w:spacing w:val="-3"/>
        </w:rPr>
        <w:t>2013 and </w:t>
      </w:r>
      <w:r>
        <w:rPr>
          <w:spacing w:val="-4"/>
        </w:rPr>
        <w:t>December </w:t>
      </w:r>
      <w:r>
        <w:rPr>
          <w:spacing w:val="-3"/>
        </w:rPr>
        <w:t>2014 the Council </w:t>
      </w:r>
      <w:r>
        <w:rPr>
          <w:spacing w:val="-4"/>
        </w:rPr>
        <w:t>received €349k </w:t>
      </w:r>
      <w:r>
        <w:rPr>
          <w:spacing w:val="-3"/>
        </w:rPr>
        <w:t>and </w:t>
      </w:r>
      <w:r>
        <w:rPr>
          <w:spacing w:val="-4"/>
        </w:rPr>
        <w:t>€102k respectively </w:t>
      </w:r>
      <w:r>
        <w:rPr/>
        <w:t>in </w:t>
      </w:r>
      <w:r>
        <w:rPr>
          <w:spacing w:val="-4"/>
        </w:rPr>
        <w:t>respect </w:t>
      </w:r>
      <w:r>
        <w:rPr>
          <w:spacing w:val="-3"/>
        </w:rPr>
        <w:t>of </w:t>
      </w:r>
      <w:r>
        <w:rPr>
          <w:spacing w:val="-4"/>
        </w:rPr>
        <w:t>capital assistance </w:t>
      </w:r>
      <w:r>
        <w:rPr>
          <w:spacing w:val="-3"/>
        </w:rPr>
        <w:t>scheme </w:t>
      </w:r>
      <w:r>
        <w:rPr>
          <w:spacing w:val="-4"/>
        </w:rPr>
        <w:t>grants </w:t>
      </w:r>
      <w:r>
        <w:rPr>
          <w:spacing w:val="-3"/>
        </w:rPr>
        <w:t>from the </w:t>
      </w:r>
      <w:r>
        <w:rPr>
          <w:spacing w:val="-4"/>
        </w:rPr>
        <w:t>Department. </w:t>
      </w:r>
      <w:r>
        <w:rPr>
          <w:spacing w:val="-3"/>
        </w:rPr>
        <w:t>The </w:t>
      </w:r>
      <w:r>
        <w:rPr>
          <w:spacing w:val="-4"/>
        </w:rPr>
        <w:t>purpose </w:t>
      </w:r>
      <w:r>
        <w:rPr>
          <w:spacing w:val="-3"/>
        </w:rPr>
        <w:t>of </w:t>
      </w:r>
      <w:r>
        <w:rPr>
          <w:spacing w:val="-4"/>
        </w:rPr>
        <w:t>these grants </w:t>
      </w:r>
      <w:r>
        <w:rPr/>
        <w:t>is to </w:t>
      </w:r>
      <w:r>
        <w:rPr>
          <w:spacing w:val="-4"/>
        </w:rPr>
        <w:t>provide </w:t>
      </w:r>
      <w:r>
        <w:rPr>
          <w:spacing w:val="-3"/>
        </w:rPr>
        <w:t>funding </w:t>
      </w:r>
      <w:r>
        <w:rPr/>
        <w:t>to a </w:t>
      </w:r>
      <w:r>
        <w:rPr>
          <w:spacing w:val="-4"/>
        </w:rPr>
        <w:t>voluntary housing body </w:t>
      </w:r>
      <w:r>
        <w:rPr/>
        <w:t>for </w:t>
      </w:r>
      <w:r>
        <w:rPr>
          <w:spacing w:val="-3"/>
        </w:rPr>
        <w:t>the </w:t>
      </w:r>
      <w:r>
        <w:rPr>
          <w:spacing w:val="-4"/>
        </w:rPr>
        <w:t>purchase </w:t>
      </w:r>
      <w:r>
        <w:rPr>
          <w:spacing w:val="-3"/>
        </w:rPr>
        <w:t>of nine </w:t>
      </w:r>
      <w:r>
        <w:rPr>
          <w:spacing w:val="-4"/>
        </w:rPr>
        <w:t>housing </w:t>
      </w:r>
      <w:r>
        <w:rPr>
          <w:spacing w:val="-3"/>
        </w:rPr>
        <w:t>units. </w:t>
      </w:r>
      <w:r>
        <w:rPr/>
        <w:t>No </w:t>
      </w:r>
      <w:r>
        <w:rPr>
          <w:spacing w:val="-4"/>
        </w:rPr>
        <w:t>payment </w:t>
      </w:r>
      <w:r>
        <w:rPr>
          <w:spacing w:val="-3"/>
        </w:rPr>
        <w:t>has yet </w:t>
      </w:r>
      <w:r>
        <w:rPr>
          <w:spacing w:val="-4"/>
        </w:rPr>
        <w:t>been </w:t>
      </w:r>
      <w:r>
        <w:rPr>
          <w:spacing w:val="-3"/>
        </w:rPr>
        <w:t>made </w:t>
      </w:r>
      <w:r>
        <w:rPr/>
        <w:t>to </w:t>
      </w:r>
      <w:r>
        <w:rPr>
          <w:spacing w:val="-3"/>
        </w:rPr>
        <w:t>the </w:t>
      </w:r>
      <w:r>
        <w:rPr>
          <w:spacing w:val="-4"/>
        </w:rPr>
        <w:t>housing </w:t>
      </w:r>
      <w:r>
        <w:rPr>
          <w:spacing w:val="-3"/>
        </w:rPr>
        <w:t>body as </w:t>
      </w:r>
      <w:r>
        <w:rPr/>
        <w:t>the </w:t>
      </w:r>
      <w:r>
        <w:rPr>
          <w:spacing w:val="-4"/>
        </w:rPr>
        <w:t>contracts have not yet </w:t>
      </w:r>
      <w:r>
        <w:rPr>
          <w:spacing w:val="-3"/>
        </w:rPr>
        <w:t>been </w:t>
      </w:r>
      <w:r>
        <w:rPr>
          <w:spacing w:val="-4"/>
        </w:rPr>
        <w:t>completed.</w:t>
      </w:r>
    </w:p>
    <w:p>
      <w:pPr>
        <w:pStyle w:val="BodyText"/>
        <w:spacing w:before="10"/>
        <w:rPr>
          <w:sz w:val="21"/>
        </w:rPr>
      </w:pPr>
    </w:p>
    <w:p>
      <w:pPr>
        <w:pStyle w:val="Heading2"/>
        <w:ind w:firstLine="0"/>
      </w:pPr>
      <w:r>
        <w:rPr/>
        <w:t>Chief Executive’s Response</w:t>
      </w:r>
    </w:p>
    <w:p>
      <w:pPr>
        <w:pStyle w:val="BodyText"/>
        <w:spacing w:before="10"/>
        <w:rPr>
          <w:b/>
          <w:sz w:val="21"/>
        </w:rPr>
      </w:pPr>
    </w:p>
    <w:p>
      <w:pPr>
        <w:pStyle w:val="BodyText"/>
        <w:ind w:left="838" w:right="208"/>
      </w:pPr>
      <w:r>
        <w:rPr>
          <w:spacing w:val="-4"/>
        </w:rPr>
        <w:t>Contracts have </w:t>
      </w:r>
      <w:r>
        <w:rPr>
          <w:spacing w:val="-3"/>
        </w:rPr>
        <w:t>been </w:t>
      </w:r>
      <w:r>
        <w:rPr>
          <w:spacing w:val="-4"/>
        </w:rPr>
        <w:t>forwarded </w:t>
      </w:r>
      <w:r>
        <w:rPr/>
        <w:t>to </w:t>
      </w:r>
      <w:r>
        <w:rPr>
          <w:spacing w:val="-3"/>
        </w:rPr>
        <w:t>the </w:t>
      </w:r>
      <w:r>
        <w:rPr>
          <w:spacing w:val="-4"/>
        </w:rPr>
        <w:t>solicitors </w:t>
      </w:r>
      <w:r>
        <w:rPr>
          <w:spacing w:val="-3"/>
        </w:rPr>
        <w:t>acting for </w:t>
      </w:r>
      <w:r>
        <w:rPr/>
        <w:t>the </w:t>
      </w:r>
      <w:r>
        <w:rPr>
          <w:spacing w:val="-4"/>
        </w:rPr>
        <w:t>relevant voluntary housing association. </w:t>
      </w:r>
      <w:r>
        <w:rPr/>
        <w:t>It is </w:t>
      </w:r>
      <w:r>
        <w:rPr>
          <w:spacing w:val="-4"/>
        </w:rPr>
        <w:t>expected </w:t>
      </w:r>
      <w:r>
        <w:rPr>
          <w:spacing w:val="-3"/>
        </w:rPr>
        <w:t>that </w:t>
      </w:r>
      <w:r>
        <w:rPr>
          <w:spacing w:val="-4"/>
        </w:rPr>
        <w:t>signed contracts </w:t>
      </w:r>
      <w:r>
        <w:rPr/>
        <w:t>will </w:t>
      </w:r>
      <w:r>
        <w:rPr>
          <w:spacing w:val="-3"/>
        </w:rPr>
        <w:t>be </w:t>
      </w:r>
      <w:r>
        <w:rPr>
          <w:spacing w:val="-4"/>
        </w:rPr>
        <w:t>returned </w:t>
      </w:r>
      <w:r>
        <w:rPr>
          <w:spacing w:val="-3"/>
        </w:rPr>
        <w:t>within the </w:t>
      </w:r>
      <w:r>
        <w:rPr>
          <w:spacing w:val="-4"/>
        </w:rPr>
        <w:t>near future.</w:t>
      </w:r>
    </w:p>
    <w:p>
      <w:pPr>
        <w:pStyle w:val="BodyText"/>
        <w:spacing w:before="1"/>
      </w:pPr>
    </w:p>
    <w:p>
      <w:pPr>
        <w:pStyle w:val="Heading2"/>
        <w:numPr>
          <w:ilvl w:val="0"/>
          <w:numId w:val="2"/>
        </w:numPr>
        <w:tabs>
          <w:tab w:pos="838" w:val="left" w:leader="none"/>
        </w:tabs>
        <w:spacing w:line="240" w:lineRule="auto" w:before="1" w:after="0"/>
        <w:ind w:left="838" w:right="0" w:hanging="720"/>
        <w:jc w:val="left"/>
      </w:pPr>
      <w:r>
        <w:rPr>
          <w:spacing w:val="-4"/>
        </w:rPr>
        <w:t>Part </w:t>
      </w:r>
      <w:r>
        <w:rPr/>
        <w:t>V </w:t>
      </w:r>
      <w:r>
        <w:rPr>
          <w:spacing w:val="-4"/>
        </w:rPr>
        <w:t>Register</w:t>
      </w:r>
    </w:p>
    <w:p>
      <w:pPr>
        <w:pStyle w:val="BodyText"/>
        <w:spacing w:before="10"/>
        <w:rPr>
          <w:b/>
          <w:sz w:val="21"/>
        </w:rPr>
      </w:pPr>
    </w:p>
    <w:p>
      <w:pPr>
        <w:pStyle w:val="BodyText"/>
        <w:ind w:left="838"/>
      </w:pPr>
      <w:r>
        <w:rPr>
          <w:spacing w:val="-4"/>
        </w:rPr>
        <w:t>Part </w:t>
      </w:r>
      <w:r>
        <w:rPr>
          <w:spacing w:val="-3"/>
        </w:rPr>
        <w:t>2, </w:t>
      </w:r>
      <w:r>
        <w:rPr>
          <w:spacing w:val="-4"/>
        </w:rPr>
        <w:t>Section </w:t>
      </w:r>
      <w:r>
        <w:rPr/>
        <w:t>3 </w:t>
      </w:r>
      <w:r>
        <w:rPr>
          <w:spacing w:val="-3"/>
        </w:rPr>
        <w:t>of the Planning and </w:t>
      </w:r>
      <w:r>
        <w:rPr>
          <w:spacing w:val="-4"/>
        </w:rPr>
        <w:t>Development (amendment) </w:t>
      </w:r>
      <w:r>
        <w:rPr>
          <w:spacing w:val="-3"/>
        </w:rPr>
        <w:t>Act, </w:t>
      </w:r>
      <w:r>
        <w:rPr>
          <w:spacing w:val="-4"/>
        </w:rPr>
        <w:t>2002 requires developers </w:t>
      </w:r>
      <w:r>
        <w:rPr/>
        <w:t>to </w:t>
      </w:r>
      <w:r>
        <w:rPr>
          <w:spacing w:val="-4"/>
        </w:rPr>
        <w:t>provide </w:t>
      </w:r>
      <w:r>
        <w:rPr>
          <w:spacing w:val="-3"/>
        </w:rPr>
        <w:t>land for public </w:t>
      </w:r>
      <w:r>
        <w:rPr>
          <w:spacing w:val="-4"/>
        </w:rPr>
        <w:t>housing, </w:t>
      </w:r>
      <w:r>
        <w:rPr>
          <w:spacing w:val="-3"/>
        </w:rPr>
        <w:t>or </w:t>
      </w:r>
      <w:r>
        <w:rPr/>
        <w:t>a </w:t>
      </w:r>
      <w:r>
        <w:rPr>
          <w:spacing w:val="-4"/>
        </w:rPr>
        <w:t>certain </w:t>
      </w:r>
      <w:r>
        <w:rPr>
          <w:spacing w:val="-3"/>
        </w:rPr>
        <w:t>number of </w:t>
      </w:r>
      <w:r>
        <w:rPr>
          <w:spacing w:val="-4"/>
        </w:rPr>
        <w:t>houses, </w:t>
      </w:r>
      <w:r>
        <w:rPr/>
        <w:t>a </w:t>
      </w:r>
      <w:r>
        <w:rPr>
          <w:spacing w:val="-4"/>
        </w:rPr>
        <w:t>financial contribution </w:t>
      </w:r>
      <w:r>
        <w:rPr/>
        <w:t>or a </w:t>
      </w:r>
      <w:r>
        <w:rPr>
          <w:spacing w:val="-4"/>
        </w:rPr>
        <w:t>combination </w:t>
      </w:r>
      <w:r>
        <w:rPr>
          <w:spacing w:val="-3"/>
        </w:rPr>
        <w:t>of </w:t>
      </w:r>
      <w:r>
        <w:rPr>
          <w:spacing w:val="-4"/>
        </w:rPr>
        <w:t>these, </w:t>
      </w:r>
      <w:r>
        <w:rPr/>
        <w:t>to </w:t>
      </w:r>
      <w:r>
        <w:rPr>
          <w:spacing w:val="-3"/>
        </w:rPr>
        <w:t>the local </w:t>
      </w:r>
      <w:r>
        <w:rPr>
          <w:spacing w:val="-4"/>
        </w:rPr>
        <w:t>authority </w:t>
      </w:r>
      <w:r>
        <w:rPr>
          <w:spacing w:val="-3"/>
        </w:rPr>
        <w:t>at an </w:t>
      </w:r>
      <w:r>
        <w:rPr>
          <w:spacing w:val="-4"/>
        </w:rPr>
        <w:t>agreed cost </w:t>
      </w:r>
      <w:r>
        <w:rPr/>
        <w:t>in </w:t>
      </w:r>
      <w:r>
        <w:rPr>
          <w:spacing w:val="-4"/>
        </w:rPr>
        <w:t>order </w:t>
      </w:r>
      <w:r>
        <w:rPr/>
        <w:t>to </w:t>
      </w:r>
      <w:r>
        <w:rPr>
          <w:spacing w:val="-4"/>
        </w:rPr>
        <w:t>assist </w:t>
      </w:r>
      <w:r>
        <w:rPr/>
        <w:t>in </w:t>
      </w:r>
      <w:r>
        <w:rPr>
          <w:spacing w:val="-3"/>
        </w:rPr>
        <w:t>the </w:t>
      </w:r>
      <w:r>
        <w:rPr>
          <w:spacing w:val="-4"/>
        </w:rPr>
        <w:t>provision </w:t>
      </w:r>
      <w:r>
        <w:rPr>
          <w:spacing w:val="-3"/>
        </w:rPr>
        <w:t>of </w:t>
      </w:r>
      <w:r>
        <w:rPr>
          <w:spacing w:val="-4"/>
        </w:rPr>
        <w:t>social </w:t>
      </w:r>
      <w:r>
        <w:rPr>
          <w:spacing w:val="-3"/>
        </w:rPr>
        <w:t>and </w:t>
      </w:r>
      <w:r>
        <w:rPr>
          <w:spacing w:val="-4"/>
        </w:rPr>
        <w:t>affordable housing. </w:t>
      </w:r>
      <w:r>
        <w:rPr>
          <w:spacing w:val="-3"/>
        </w:rPr>
        <w:t>This </w:t>
      </w:r>
      <w:r>
        <w:rPr>
          <w:spacing w:val="-4"/>
        </w:rPr>
        <w:t>condition </w:t>
      </w:r>
      <w:r>
        <w:rPr/>
        <w:t>is </w:t>
      </w:r>
      <w:r>
        <w:rPr>
          <w:spacing w:val="-3"/>
        </w:rPr>
        <w:t>also </w:t>
      </w:r>
      <w:r>
        <w:rPr>
          <w:spacing w:val="-4"/>
        </w:rPr>
        <w:t>referred </w:t>
      </w:r>
      <w:r>
        <w:rPr/>
        <w:t>to </w:t>
      </w:r>
      <w:r>
        <w:rPr>
          <w:spacing w:val="-3"/>
        </w:rPr>
        <w:t>as </w:t>
      </w:r>
      <w:r>
        <w:rPr>
          <w:spacing w:val="-4"/>
        </w:rPr>
        <w:t>Part </w:t>
      </w:r>
      <w:r>
        <w:rPr/>
        <w:t>V.</w:t>
      </w:r>
    </w:p>
    <w:p>
      <w:pPr>
        <w:pStyle w:val="BodyText"/>
        <w:ind w:left="838" w:right="208"/>
      </w:pPr>
      <w:r>
        <w:rPr/>
        <w:t>It </w:t>
      </w:r>
      <w:r>
        <w:rPr>
          <w:spacing w:val="-3"/>
        </w:rPr>
        <w:t>was </w:t>
      </w:r>
      <w:r>
        <w:rPr>
          <w:spacing w:val="-4"/>
        </w:rPr>
        <w:t>highlighted </w:t>
      </w:r>
      <w:r>
        <w:rPr>
          <w:spacing w:val="-3"/>
        </w:rPr>
        <w:t>at </w:t>
      </w:r>
      <w:r>
        <w:rPr>
          <w:spacing w:val="-4"/>
        </w:rPr>
        <w:t>previous </w:t>
      </w:r>
      <w:r>
        <w:rPr>
          <w:spacing w:val="-3"/>
        </w:rPr>
        <w:t>audits </w:t>
      </w:r>
      <w:r>
        <w:rPr>
          <w:spacing w:val="-4"/>
        </w:rPr>
        <w:t>that there </w:t>
      </w:r>
      <w:r>
        <w:rPr>
          <w:spacing w:val="-3"/>
        </w:rPr>
        <w:t>was </w:t>
      </w:r>
      <w:r>
        <w:rPr/>
        <w:t>no </w:t>
      </w:r>
      <w:r>
        <w:rPr>
          <w:spacing w:val="-4"/>
        </w:rPr>
        <w:t>Part </w:t>
      </w:r>
      <w:r>
        <w:rPr/>
        <w:t>V </w:t>
      </w:r>
      <w:r>
        <w:rPr>
          <w:spacing w:val="-4"/>
        </w:rPr>
        <w:t>register </w:t>
      </w:r>
      <w:r>
        <w:rPr>
          <w:spacing w:val="-3"/>
        </w:rPr>
        <w:t>and that such </w:t>
      </w:r>
      <w:r>
        <w:rPr/>
        <w:t>a </w:t>
      </w:r>
      <w:r>
        <w:rPr>
          <w:spacing w:val="-4"/>
        </w:rPr>
        <w:t>register should </w:t>
      </w:r>
      <w:r>
        <w:rPr/>
        <w:t>be </w:t>
      </w:r>
      <w:r>
        <w:rPr>
          <w:spacing w:val="-4"/>
        </w:rPr>
        <w:t>prepared </w:t>
      </w:r>
      <w:r>
        <w:rPr>
          <w:spacing w:val="-3"/>
        </w:rPr>
        <w:t>and </w:t>
      </w:r>
      <w:r>
        <w:rPr>
          <w:spacing w:val="-4"/>
        </w:rPr>
        <w:t>maintained. </w:t>
      </w:r>
      <w:r>
        <w:rPr/>
        <w:t>A </w:t>
      </w:r>
      <w:r>
        <w:rPr>
          <w:spacing w:val="-4"/>
        </w:rPr>
        <w:t>Part </w:t>
      </w:r>
      <w:r>
        <w:rPr/>
        <w:t>V </w:t>
      </w:r>
      <w:r>
        <w:rPr>
          <w:spacing w:val="-4"/>
        </w:rPr>
        <w:t>register recently compiled indicated that </w:t>
      </w:r>
      <w:r>
        <w:rPr/>
        <w:t>a </w:t>
      </w:r>
      <w:r>
        <w:rPr>
          <w:spacing w:val="-3"/>
        </w:rPr>
        <w:t>sum of</w:t>
      </w:r>
    </w:p>
    <w:p>
      <w:pPr>
        <w:pStyle w:val="BodyText"/>
        <w:ind w:left="838"/>
      </w:pPr>
      <w:r>
        <w:rPr>
          <w:spacing w:val="-4"/>
        </w:rPr>
        <w:t>€1.6m </w:t>
      </w:r>
      <w:r>
        <w:rPr/>
        <w:t>is </w:t>
      </w:r>
      <w:r>
        <w:rPr>
          <w:spacing w:val="-4"/>
        </w:rPr>
        <w:t>outstanding </w:t>
      </w:r>
      <w:r>
        <w:rPr/>
        <w:t>in </w:t>
      </w:r>
      <w:r>
        <w:rPr>
          <w:spacing w:val="-4"/>
        </w:rPr>
        <w:t>respect </w:t>
      </w:r>
      <w:r>
        <w:rPr>
          <w:spacing w:val="-3"/>
        </w:rPr>
        <w:t>of </w:t>
      </w:r>
      <w:r>
        <w:rPr>
          <w:spacing w:val="-4"/>
        </w:rPr>
        <w:t>Part </w:t>
      </w:r>
      <w:r>
        <w:rPr/>
        <w:t>V </w:t>
      </w:r>
      <w:r>
        <w:rPr>
          <w:spacing w:val="-4"/>
        </w:rPr>
        <w:t>financial contributions. These contributions </w:t>
      </w:r>
      <w:r>
        <w:rPr>
          <w:spacing w:val="-3"/>
        </w:rPr>
        <w:t>should </w:t>
      </w:r>
      <w:r>
        <w:rPr/>
        <w:t>be </w:t>
      </w:r>
      <w:r>
        <w:rPr>
          <w:spacing w:val="-4"/>
        </w:rPr>
        <w:t>pursued </w:t>
      </w:r>
      <w:r>
        <w:rPr/>
        <w:t>for</w:t>
      </w:r>
      <w:r>
        <w:rPr>
          <w:spacing w:val="-4"/>
        </w:rPr>
        <w:t> payment.</w:t>
      </w:r>
    </w:p>
    <w:p>
      <w:pPr>
        <w:pStyle w:val="BodyText"/>
        <w:spacing w:before="1"/>
      </w:pPr>
    </w:p>
    <w:p>
      <w:pPr>
        <w:pStyle w:val="Heading2"/>
        <w:ind w:firstLine="0"/>
      </w:pPr>
      <w:r>
        <w:rPr/>
        <w:t>Chief Executive’s Response</w:t>
      </w:r>
    </w:p>
    <w:p>
      <w:pPr>
        <w:pStyle w:val="BodyText"/>
        <w:spacing w:before="11"/>
        <w:rPr>
          <w:b/>
          <w:sz w:val="21"/>
        </w:rPr>
      </w:pPr>
    </w:p>
    <w:p>
      <w:pPr>
        <w:pStyle w:val="BodyText"/>
        <w:ind w:left="838" w:right="350"/>
      </w:pPr>
      <w:r>
        <w:rPr/>
        <w:t>The Council will pursue the outstanding contributions under Part V as identified in the Part V Register.</w:t>
      </w:r>
    </w:p>
    <w:p>
      <w:pPr>
        <w:pStyle w:val="BodyText"/>
        <w:spacing w:before="1"/>
      </w:pPr>
    </w:p>
    <w:p>
      <w:pPr>
        <w:pStyle w:val="Heading2"/>
        <w:numPr>
          <w:ilvl w:val="0"/>
          <w:numId w:val="2"/>
        </w:numPr>
        <w:tabs>
          <w:tab w:pos="838" w:val="left" w:leader="none"/>
        </w:tabs>
        <w:spacing w:line="240" w:lineRule="auto" w:before="0" w:after="0"/>
        <w:ind w:left="838" w:right="0" w:hanging="720"/>
        <w:jc w:val="left"/>
      </w:pPr>
      <w:r>
        <w:rPr>
          <w:spacing w:val="-4"/>
        </w:rPr>
        <w:t>Development</w:t>
      </w:r>
      <w:r>
        <w:rPr>
          <w:spacing w:val="15"/>
        </w:rPr>
        <w:t> </w:t>
      </w:r>
      <w:r>
        <w:rPr>
          <w:spacing w:val="-4"/>
        </w:rPr>
        <w:t>Contributions</w:t>
      </w:r>
    </w:p>
    <w:p>
      <w:pPr>
        <w:pStyle w:val="BodyText"/>
        <w:spacing w:before="10"/>
        <w:rPr>
          <w:b/>
          <w:sz w:val="21"/>
        </w:rPr>
      </w:pPr>
    </w:p>
    <w:p>
      <w:pPr>
        <w:pStyle w:val="BodyText"/>
        <w:ind w:left="838" w:right="116"/>
      </w:pPr>
      <w:r>
        <w:rPr/>
        <w:t>A </w:t>
      </w:r>
      <w:r>
        <w:rPr>
          <w:spacing w:val="-4"/>
        </w:rPr>
        <w:t>total </w:t>
      </w:r>
      <w:r>
        <w:rPr>
          <w:spacing w:val="-3"/>
        </w:rPr>
        <w:t>of </w:t>
      </w:r>
      <w:r>
        <w:rPr>
          <w:spacing w:val="-4"/>
        </w:rPr>
        <w:t>€995k </w:t>
      </w:r>
      <w:r>
        <w:rPr>
          <w:spacing w:val="-3"/>
        </w:rPr>
        <w:t>was </w:t>
      </w:r>
      <w:r>
        <w:rPr>
          <w:spacing w:val="-4"/>
        </w:rPr>
        <w:t>collected </w:t>
      </w:r>
      <w:r>
        <w:rPr/>
        <w:t>in </w:t>
      </w:r>
      <w:r>
        <w:rPr>
          <w:spacing w:val="-4"/>
        </w:rPr>
        <w:t>2015 </w:t>
      </w:r>
      <w:r>
        <w:rPr/>
        <w:t>in </w:t>
      </w:r>
      <w:r>
        <w:rPr>
          <w:spacing w:val="-4"/>
        </w:rPr>
        <w:t>respect </w:t>
      </w:r>
      <w:r>
        <w:rPr>
          <w:spacing w:val="-3"/>
        </w:rPr>
        <w:t>of </w:t>
      </w:r>
      <w:r>
        <w:rPr>
          <w:spacing w:val="-4"/>
        </w:rPr>
        <w:t>development contributions. </w:t>
      </w:r>
      <w:r>
        <w:rPr>
          <w:spacing w:val="-3"/>
        </w:rPr>
        <w:t>The </w:t>
      </w:r>
      <w:r>
        <w:rPr>
          <w:spacing w:val="-4"/>
        </w:rPr>
        <w:t>Council carried out </w:t>
      </w:r>
      <w:r>
        <w:rPr/>
        <w:t>19 </w:t>
      </w:r>
      <w:r>
        <w:rPr>
          <w:spacing w:val="-3"/>
        </w:rPr>
        <w:t>site </w:t>
      </w:r>
      <w:r>
        <w:rPr>
          <w:spacing w:val="-4"/>
        </w:rPr>
        <w:t>inspections </w:t>
      </w:r>
      <w:r>
        <w:rPr/>
        <w:t>in </w:t>
      </w:r>
      <w:r>
        <w:rPr>
          <w:spacing w:val="-3"/>
        </w:rPr>
        <w:t>2015 (26 site </w:t>
      </w:r>
      <w:r>
        <w:rPr>
          <w:spacing w:val="-4"/>
        </w:rPr>
        <w:t>inspections </w:t>
      </w:r>
      <w:r>
        <w:rPr/>
        <w:t>in </w:t>
      </w:r>
      <w:r>
        <w:rPr>
          <w:spacing w:val="-4"/>
        </w:rPr>
        <w:t>2014). </w:t>
      </w:r>
      <w:r>
        <w:rPr/>
        <w:t>As </w:t>
      </w:r>
      <w:r>
        <w:rPr>
          <w:spacing w:val="-4"/>
        </w:rPr>
        <w:t>payment </w:t>
      </w:r>
      <w:r>
        <w:rPr>
          <w:spacing w:val="-3"/>
        </w:rPr>
        <w:t>of </w:t>
      </w:r>
      <w:r>
        <w:rPr>
          <w:spacing w:val="-4"/>
        </w:rPr>
        <w:t>outstanding contributions </w:t>
      </w:r>
      <w:r>
        <w:rPr/>
        <w:t>by </w:t>
      </w:r>
      <w:r>
        <w:rPr>
          <w:spacing w:val="-4"/>
        </w:rPr>
        <w:t>developers </w:t>
      </w:r>
      <w:r>
        <w:rPr/>
        <w:t>is </w:t>
      </w:r>
      <w:r>
        <w:rPr>
          <w:spacing w:val="-4"/>
        </w:rPr>
        <w:t>based </w:t>
      </w:r>
      <w:r>
        <w:rPr/>
        <w:t>on </w:t>
      </w:r>
      <w:r>
        <w:rPr>
          <w:spacing w:val="-3"/>
        </w:rPr>
        <w:t>the sale </w:t>
      </w:r>
      <w:r>
        <w:rPr/>
        <w:t>/ </w:t>
      </w:r>
      <w:r>
        <w:rPr>
          <w:spacing w:val="-4"/>
        </w:rPr>
        <w:t>renting </w:t>
      </w:r>
      <w:r>
        <w:rPr/>
        <w:t>/ </w:t>
      </w:r>
      <w:r>
        <w:rPr>
          <w:spacing w:val="-3"/>
        </w:rPr>
        <w:t>lease of </w:t>
      </w:r>
      <w:r>
        <w:rPr>
          <w:spacing w:val="-4"/>
        </w:rPr>
        <w:t>properties </w:t>
      </w:r>
      <w:r>
        <w:rPr/>
        <w:t>in </w:t>
      </w:r>
      <w:r>
        <w:rPr>
          <w:spacing w:val="-3"/>
        </w:rPr>
        <w:t>some </w:t>
      </w:r>
      <w:r>
        <w:rPr>
          <w:spacing w:val="-4"/>
        </w:rPr>
        <w:t>cases, </w:t>
      </w:r>
      <w:r>
        <w:rPr/>
        <w:t>it is </w:t>
      </w:r>
      <w:r>
        <w:rPr>
          <w:spacing w:val="-4"/>
        </w:rPr>
        <w:t>recommended that </w:t>
      </w:r>
      <w:r>
        <w:rPr>
          <w:spacing w:val="-3"/>
        </w:rPr>
        <w:t>regular site </w:t>
      </w:r>
      <w:r>
        <w:rPr>
          <w:spacing w:val="-4"/>
        </w:rPr>
        <w:t>inspections </w:t>
      </w:r>
      <w:r>
        <w:rPr/>
        <w:t>be </w:t>
      </w:r>
      <w:r>
        <w:rPr>
          <w:spacing w:val="-3"/>
        </w:rPr>
        <w:t>made as part of </w:t>
      </w:r>
      <w:r>
        <w:rPr>
          <w:spacing w:val="-4"/>
        </w:rPr>
        <w:t>the </w:t>
      </w:r>
      <w:r>
        <w:rPr>
          <w:spacing w:val="-3"/>
        </w:rPr>
        <w:t>follow up of </w:t>
      </w:r>
      <w:r>
        <w:rPr>
          <w:spacing w:val="-4"/>
        </w:rPr>
        <w:t>arrears.</w:t>
      </w:r>
    </w:p>
    <w:p>
      <w:pPr>
        <w:spacing w:after="0"/>
        <w:sectPr>
          <w:headerReference w:type="default" r:id="rId11"/>
          <w:footerReference w:type="default" r:id="rId12"/>
          <w:pgSz w:w="11910" w:h="16840"/>
          <w:pgMar w:header="0" w:footer="426" w:top="1340" w:bottom="620" w:left="1680" w:right="1680"/>
          <w:pgNumType w:start="5"/>
        </w:sectPr>
      </w:pPr>
    </w:p>
    <w:p>
      <w:pPr>
        <w:pStyle w:val="BodyText"/>
        <w:rPr>
          <w:sz w:val="16"/>
        </w:rPr>
      </w:pPr>
    </w:p>
    <w:p>
      <w:pPr>
        <w:pStyle w:val="BodyText"/>
        <w:spacing w:before="74"/>
        <w:ind w:left="838" w:right="123"/>
      </w:pPr>
      <w:r>
        <w:rPr/>
        <w:t>The Council continues to monitor resumption of development/sales where there are outstanding development contributions through its network of people on the ground. While the Council carried out 19 official inspections some of these were instigated following information from Council employees not attached to the planning section. Site inspections will be prioritised and increased where necessary to maximise the collection of outstanding development contributions.</w:t>
      </w:r>
    </w:p>
    <w:p>
      <w:pPr>
        <w:pStyle w:val="BodyText"/>
        <w:spacing w:before="10"/>
        <w:rPr>
          <w:sz w:val="21"/>
        </w:rPr>
      </w:pPr>
    </w:p>
    <w:p>
      <w:pPr>
        <w:pStyle w:val="Heading2"/>
        <w:numPr>
          <w:ilvl w:val="0"/>
          <w:numId w:val="2"/>
        </w:numPr>
        <w:tabs>
          <w:tab w:pos="838" w:val="left" w:leader="none"/>
        </w:tabs>
        <w:spacing w:line="240" w:lineRule="auto" w:before="0" w:after="0"/>
        <w:ind w:left="838" w:right="0" w:hanging="720"/>
        <w:jc w:val="left"/>
      </w:pPr>
      <w:r>
        <w:rPr/>
        <w:t>Housing Stock</w:t>
      </w:r>
      <w:r>
        <w:rPr>
          <w:spacing w:val="-7"/>
        </w:rPr>
        <w:t> </w:t>
      </w:r>
      <w:r>
        <w:rPr/>
        <w:t>Reconciliation</w:t>
      </w:r>
    </w:p>
    <w:p>
      <w:pPr>
        <w:pStyle w:val="BodyText"/>
        <w:spacing w:before="1"/>
        <w:rPr>
          <w:b/>
        </w:rPr>
      </w:pPr>
    </w:p>
    <w:p>
      <w:pPr>
        <w:pStyle w:val="BodyText"/>
        <w:ind w:left="838" w:right="304"/>
        <w:jc w:val="both"/>
      </w:pPr>
      <w:r>
        <w:rPr/>
        <w:t>A housing stock reconciliation, agreeing the number of houses included in fixed assets to the number of houses included on the Council’s rent register was not completed for 2015. This is an important control and should be prepared annually.</w:t>
      </w:r>
    </w:p>
    <w:p>
      <w:pPr>
        <w:pStyle w:val="BodyText"/>
        <w:spacing w:before="1"/>
      </w:pPr>
    </w:p>
    <w:p>
      <w:pPr>
        <w:pStyle w:val="Heading2"/>
        <w:ind w:firstLine="0"/>
      </w:pPr>
      <w:r>
        <w:rPr/>
        <w:t>Chief Executive’s Response</w:t>
      </w:r>
    </w:p>
    <w:p>
      <w:pPr>
        <w:pStyle w:val="BodyText"/>
        <w:spacing w:before="10"/>
        <w:rPr>
          <w:b/>
          <w:sz w:val="21"/>
        </w:rPr>
      </w:pPr>
    </w:p>
    <w:p>
      <w:pPr>
        <w:pStyle w:val="BodyText"/>
        <w:ind w:left="838" w:right="208"/>
      </w:pPr>
      <w:r>
        <w:rPr>
          <w:spacing w:val="-3"/>
        </w:rPr>
        <w:t>Details of </w:t>
      </w:r>
      <w:r>
        <w:rPr>
          <w:spacing w:val="-4"/>
        </w:rPr>
        <w:t>housing stock </w:t>
      </w:r>
      <w:r>
        <w:rPr>
          <w:spacing w:val="-3"/>
        </w:rPr>
        <w:t>at </w:t>
      </w:r>
      <w:r>
        <w:rPr/>
        <w:t>31 </w:t>
      </w:r>
      <w:r>
        <w:rPr>
          <w:spacing w:val="-4"/>
        </w:rPr>
        <w:t>December </w:t>
      </w:r>
      <w:r>
        <w:rPr>
          <w:spacing w:val="-3"/>
        </w:rPr>
        <w:t>2015 has been </w:t>
      </w:r>
      <w:r>
        <w:rPr>
          <w:spacing w:val="-4"/>
        </w:rPr>
        <w:t>prepared </w:t>
      </w:r>
      <w:r>
        <w:rPr/>
        <w:t>by </w:t>
      </w:r>
      <w:r>
        <w:rPr>
          <w:spacing w:val="-4"/>
        </w:rPr>
        <w:t>housing section </w:t>
      </w:r>
      <w:r>
        <w:rPr>
          <w:spacing w:val="-3"/>
        </w:rPr>
        <w:t>and </w:t>
      </w:r>
      <w:r>
        <w:rPr>
          <w:spacing w:val="-4"/>
        </w:rPr>
        <w:t>forwarded </w:t>
      </w:r>
      <w:r>
        <w:rPr/>
        <w:t>to </w:t>
      </w:r>
      <w:r>
        <w:rPr>
          <w:spacing w:val="-4"/>
        </w:rPr>
        <w:t>finance section </w:t>
      </w:r>
      <w:r>
        <w:rPr/>
        <w:t>for </w:t>
      </w:r>
      <w:r>
        <w:rPr>
          <w:spacing w:val="-4"/>
        </w:rPr>
        <w:t>review </w:t>
      </w:r>
      <w:r>
        <w:rPr>
          <w:spacing w:val="-3"/>
        </w:rPr>
        <w:t>and </w:t>
      </w:r>
      <w:r>
        <w:rPr>
          <w:spacing w:val="-4"/>
        </w:rPr>
        <w:t>reconciliation </w:t>
      </w:r>
      <w:r>
        <w:rPr/>
        <w:t>to </w:t>
      </w:r>
      <w:r>
        <w:rPr>
          <w:spacing w:val="-4"/>
        </w:rPr>
        <w:t>records </w:t>
      </w:r>
      <w:r>
        <w:rPr/>
        <w:t>in </w:t>
      </w:r>
      <w:r>
        <w:rPr>
          <w:spacing w:val="-3"/>
        </w:rPr>
        <w:t>the fixed </w:t>
      </w:r>
      <w:r>
        <w:rPr>
          <w:spacing w:val="-4"/>
        </w:rPr>
        <w:t>asset register </w:t>
      </w:r>
      <w:r>
        <w:rPr/>
        <w:t>in </w:t>
      </w:r>
      <w:r>
        <w:rPr>
          <w:spacing w:val="-3"/>
        </w:rPr>
        <w:t>the </w:t>
      </w:r>
      <w:r>
        <w:rPr>
          <w:spacing w:val="-4"/>
        </w:rPr>
        <w:t>financial management </w:t>
      </w:r>
      <w:r>
        <w:rPr>
          <w:spacing w:val="-3"/>
        </w:rPr>
        <w:t>system. This </w:t>
      </w:r>
      <w:r>
        <w:rPr>
          <w:spacing w:val="-4"/>
        </w:rPr>
        <w:t>exercise </w:t>
      </w:r>
      <w:r>
        <w:rPr/>
        <w:t>is </w:t>
      </w:r>
      <w:r>
        <w:rPr>
          <w:spacing w:val="-4"/>
        </w:rPr>
        <w:t>almost </w:t>
      </w:r>
      <w:r>
        <w:rPr>
          <w:spacing w:val="-3"/>
        </w:rPr>
        <w:t>fully </w:t>
      </w:r>
      <w:r>
        <w:rPr>
          <w:spacing w:val="-4"/>
        </w:rPr>
        <w:t>complete. </w:t>
      </w:r>
      <w:r>
        <w:rPr>
          <w:spacing w:val="-3"/>
        </w:rPr>
        <w:t>The work </w:t>
      </w:r>
      <w:r>
        <w:rPr>
          <w:spacing w:val="-4"/>
        </w:rPr>
        <w:t>carried </w:t>
      </w:r>
      <w:r>
        <w:rPr>
          <w:spacing w:val="-3"/>
        </w:rPr>
        <w:t>out on the </w:t>
      </w:r>
      <w:r>
        <w:rPr>
          <w:spacing w:val="-4"/>
        </w:rPr>
        <w:t>reconciliation process </w:t>
      </w:r>
      <w:r>
        <w:rPr/>
        <w:t>will </w:t>
      </w:r>
      <w:r>
        <w:rPr>
          <w:spacing w:val="-4"/>
        </w:rPr>
        <w:t>facilitate completion </w:t>
      </w:r>
      <w:r>
        <w:rPr>
          <w:spacing w:val="-3"/>
        </w:rPr>
        <w:t>of this </w:t>
      </w:r>
      <w:r>
        <w:rPr>
          <w:spacing w:val="-4"/>
        </w:rPr>
        <w:t>exercise </w:t>
      </w:r>
      <w:r>
        <w:rPr/>
        <w:t>in a </w:t>
      </w:r>
      <w:r>
        <w:rPr>
          <w:spacing w:val="-3"/>
        </w:rPr>
        <w:t>timelier manner </w:t>
      </w:r>
      <w:r>
        <w:rPr/>
        <w:t>in </w:t>
      </w:r>
      <w:r>
        <w:rPr>
          <w:spacing w:val="-3"/>
        </w:rPr>
        <w:t>the </w:t>
      </w:r>
      <w:r>
        <w:rPr>
          <w:spacing w:val="-4"/>
        </w:rPr>
        <w:t>future.</w:t>
      </w:r>
    </w:p>
    <w:p>
      <w:pPr>
        <w:pStyle w:val="BodyText"/>
        <w:spacing w:before="10"/>
        <w:rPr>
          <w:sz w:val="21"/>
        </w:rPr>
      </w:pPr>
    </w:p>
    <w:p>
      <w:pPr>
        <w:pStyle w:val="Heading2"/>
        <w:numPr>
          <w:ilvl w:val="0"/>
          <w:numId w:val="2"/>
        </w:numPr>
        <w:tabs>
          <w:tab w:pos="838" w:val="left" w:leader="none"/>
        </w:tabs>
        <w:spacing w:line="240" w:lineRule="auto" w:before="0" w:after="0"/>
        <w:ind w:left="838" w:right="0" w:hanging="720"/>
        <w:jc w:val="left"/>
      </w:pPr>
      <w:r>
        <w:rPr>
          <w:spacing w:val="-4"/>
        </w:rPr>
        <w:t>Registration </w:t>
      </w:r>
      <w:r>
        <w:rPr/>
        <w:t>of </w:t>
      </w:r>
      <w:r>
        <w:rPr>
          <w:spacing w:val="-3"/>
        </w:rPr>
        <w:t>Title </w:t>
      </w:r>
      <w:r>
        <w:rPr/>
        <w:t>/ </w:t>
      </w:r>
      <w:r>
        <w:rPr>
          <w:spacing w:val="-3"/>
        </w:rPr>
        <w:t>Land</w:t>
      </w:r>
      <w:r>
        <w:rPr>
          <w:spacing w:val="-8"/>
        </w:rPr>
        <w:t> </w:t>
      </w:r>
      <w:r>
        <w:rPr>
          <w:spacing w:val="-4"/>
        </w:rPr>
        <w:t>Register</w:t>
      </w:r>
    </w:p>
    <w:p>
      <w:pPr>
        <w:pStyle w:val="BodyText"/>
        <w:spacing w:before="10"/>
        <w:rPr>
          <w:b/>
          <w:sz w:val="21"/>
        </w:rPr>
      </w:pPr>
    </w:p>
    <w:p>
      <w:pPr>
        <w:pStyle w:val="BodyText"/>
        <w:ind w:left="838" w:right="20"/>
      </w:pPr>
      <w:r>
        <w:rPr/>
        <w:t>It </w:t>
      </w:r>
      <w:r>
        <w:rPr>
          <w:spacing w:val="-3"/>
        </w:rPr>
        <w:t>was </w:t>
      </w:r>
      <w:r>
        <w:rPr>
          <w:spacing w:val="-4"/>
        </w:rPr>
        <w:t>highlighted </w:t>
      </w:r>
      <w:r>
        <w:rPr>
          <w:spacing w:val="-3"/>
        </w:rPr>
        <w:t>at the </w:t>
      </w:r>
      <w:r>
        <w:rPr>
          <w:spacing w:val="-4"/>
        </w:rPr>
        <w:t>previous </w:t>
      </w:r>
      <w:r>
        <w:rPr>
          <w:spacing w:val="-3"/>
        </w:rPr>
        <w:t>audit </w:t>
      </w:r>
      <w:r>
        <w:rPr>
          <w:spacing w:val="-4"/>
        </w:rPr>
        <w:t>that </w:t>
      </w:r>
      <w:r>
        <w:rPr>
          <w:spacing w:val="-3"/>
        </w:rPr>
        <w:t>the </w:t>
      </w:r>
      <w:r>
        <w:rPr>
          <w:spacing w:val="-4"/>
        </w:rPr>
        <w:t>Council does </w:t>
      </w:r>
      <w:r>
        <w:rPr>
          <w:spacing w:val="-3"/>
        </w:rPr>
        <w:t>not hold </w:t>
      </w:r>
      <w:r>
        <w:rPr>
          <w:spacing w:val="-4"/>
        </w:rPr>
        <w:t>legal </w:t>
      </w:r>
      <w:r>
        <w:rPr/>
        <w:t>title to </w:t>
      </w:r>
      <w:r>
        <w:rPr>
          <w:spacing w:val="-3"/>
        </w:rPr>
        <w:t>some of </w:t>
      </w:r>
      <w:r>
        <w:rPr/>
        <w:t>its </w:t>
      </w:r>
      <w:r>
        <w:rPr>
          <w:spacing w:val="-4"/>
        </w:rPr>
        <w:t>properties, </w:t>
      </w:r>
      <w:r>
        <w:rPr>
          <w:spacing w:val="-3"/>
        </w:rPr>
        <w:t>nor </w:t>
      </w:r>
      <w:r>
        <w:rPr/>
        <w:t>is </w:t>
      </w:r>
      <w:r>
        <w:rPr>
          <w:spacing w:val="-3"/>
        </w:rPr>
        <w:t>the land </w:t>
      </w:r>
      <w:r>
        <w:rPr>
          <w:spacing w:val="-4"/>
        </w:rPr>
        <w:t>register complete. </w:t>
      </w:r>
      <w:r>
        <w:rPr/>
        <w:t>I </w:t>
      </w:r>
      <w:r>
        <w:rPr>
          <w:spacing w:val="-3"/>
        </w:rPr>
        <w:t>have been </w:t>
      </w:r>
      <w:r>
        <w:rPr>
          <w:spacing w:val="-4"/>
        </w:rPr>
        <w:t>informed </w:t>
      </w:r>
      <w:r>
        <w:rPr>
          <w:spacing w:val="-3"/>
        </w:rPr>
        <w:t>at this audit </w:t>
      </w:r>
      <w:r>
        <w:rPr>
          <w:spacing w:val="-4"/>
        </w:rPr>
        <w:t>that </w:t>
      </w:r>
      <w:r>
        <w:rPr>
          <w:spacing w:val="-3"/>
        </w:rPr>
        <w:t>work </w:t>
      </w:r>
      <w:r>
        <w:rPr/>
        <w:t>is </w:t>
      </w:r>
      <w:r>
        <w:rPr>
          <w:spacing w:val="-4"/>
        </w:rPr>
        <w:t>ongoing </w:t>
      </w:r>
      <w:r>
        <w:rPr/>
        <w:t>to </w:t>
      </w:r>
      <w:r>
        <w:rPr>
          <w:spacing w:val="-4"/>
        </w:rPr>
        <w:t>address </w:t>
      </w:r>
      <w:r>
        <w:rPr>
          <w:spacing w:val="-3"/>
        </w:rPr>
        <w:t>these </w:t>
      </w:r>
      <w:r>
        <w:rPr>
          <w:spacing w:val="-4"/>
        </w:rPr>
        <w:t>issues.</w:t>
      </w:r>
    </w:p>
    <w:p>
      <w:pPr>
        <w:pStyle w:val="BodyText"/>
        <w:spacing w:before="10"/>
        <w:rPr>
          <w:sz w:val="21"/>
        </w:rPr>
      </w:pPr>
    </w:p>
    <w:p>
      <w:pPr>
        <w:pStyle w:val="Heading2"/>
        <w:ind w:firstLine="0"/>
      </w:pPr>
      <w:r>
        <w:rPr/>
        <w:t>Chief Executive’s Response</w:t>
      </w:r>
    </w:p>
    <w:p>
      <w:pPr>
        <w:pStyle w:val="BodyText"/>
        <w:spacing w:before="1"/>
        <w:rPr>
          <w:b/>
        </w:rPr>
      </w:pPr>
    </w:p>
    <w:p>
      <w:pPr>
        <w:pStyle w:val="BodyText"/>
        <w:ind w:left="838"/>
      </w:pPr>
      <w:r>
        <w:rPr>
          <w:spacing w:val="-3"/>
        </w:rPr>
        <w:t>Some </w:t>
      </w:r>
      <w:r>
        <w:rPr>
          <w:spacing w:val="-4"/>
        </w:rPr>
        <w:t>Council lands </w:t>
      </w:r>
      <w:r>
        <w:rPr>
          <w:spacing w:val="-3"/>
        </w:rPr>
        <w:t>have not </w:t>
      </w:r>
      <w:r>
        <w:rPr>
          <w:spacing w:val="-4"/>
        </w:rPr>
        <w:t>been registered </w:t>
      </w:r>
      <w:r>
        <w:rPr>
          <w:spacing w:val="-3"/>
        </w:rPr>
        <w:t>with the </w:t>
      </w:r>
      <w:r>
        <w:rPr>
          <w:spacing w:val="-4"/>
        </w:rPr>
        <w:t>Property Registration Authority. These properties have been </w:t>
      </w:r>
      <w:r>
        <w:rPr>
          <w:spacing w:val="-3"/>
        </w:rPr>
        <w:t>identified and </w:t>
      </w:r>
      <w:r>
        <w:rPr/>
        <w:t>a </w:t>
      </w:r>
      <w:r>
        <w:rPr>
          <w:spacing w:val="-4"/>
        </w:rPr>
        <w:t>programme </w:t>
      </w:r>
      <w:r>
        <w:rPr>
          <w:spacing w:val="-3"/>
        </w:rPr>
        <w:t>of </w:t>
      </w:r>
      <w:r>
        <w:rPr>
          <w:spacing w:val="-4"/>
        </w:rPr>
        <w:t>registration </w:t>
      </w:r>
      <w:r>
        <w:rPr/>
        <w:t>will </w:t>
      </w:r>
      <w:r>
        <w:rPr>
          <w:spacing w:val="-3"/>
        </w:rPr>
        <w:t>be </w:t>
      </w:r>
      <w:r>
        <w:rPr>
          <w:spacing w:val="-4"/>
        </w:rPr>
        <w:t>considered </w:t>
      </w:r>
      <w:r>
        <w:rPr/>
        <w:t>as </w:t>
      </w:r>
      <w:r>
        <w:rPr>
          <w:spacing w:val="-4"/>
        </w:rPr>
        <w:t>finances </w:t>
      </w:r>
      <w:r>
        <w:rPr>
          <w:spacing w:val="-3"/>
        </w:rPr>
        <w:t>permit.</w:t>
      </w:r>
    </w:p>
    <w:p>
      <w:pPr>
        <w:pStyle w:val="BodyText"/>
        <w:spacing w:before="10"/>
        <w:rPr>
          <w:sz w:val="21"/>
        </w:rPr>
      </w:pPr>
    </w:p>
    <w:p>
      <w:pPr>
        <w:pStyle w:val="Heading2"/>
        <w:numPr>
          <w:ilvl w:val="0"/>
          <w:numId w:val="2"/>
        </w:numPr>
        <w:tabs>
          <w:tab w:pos="838" w:val="left" w:leader="none"/>
        </w:tabs>
        <w:spacing w:line="240" w:lineRule="auto" w:before="0" w:after="0"/>
        <w:ind w:left="838" w:right="0" w:hanging="720"/>
        <w:jc w:val="left"/>
      </w:pPr>
      <w:r>
        <w:rPr>
          <w:spacing w:val="-4"/>
        </w:rPr>
        <w:t>Local Authority</w:t>
      </w:r>
      <w:r>
        <w:rPr>
          <w:spacing w:val="15"/>
        </w:rPr>
        <w:t> </w:t>
      </w:r>
      <w:r>
        <w:rPr>
          <w:spacing w:val="-4"/>
        </w:rPr>
        <w:t>Companies</w:t>
      </w:r>
    </w:p>
    <w:p>
      <w:pPr>
        <w:pStyle w:val="BodyText"/>
        <w:spacing w:before="1"/>
        <w:rPr>
          <w:b/>
        </w:rPr>
      </w:pPr>
    </w:p>
    <w:p>
      <w:pPr>
        <w:pStyle w:val="BodyText"/>
        <w:ind w:left="838" w:right="208"/>
      </w:pPr>
      <w:r>
        <w:rPr>
          <w:spacing w:val="-3"/>
        </w:rPr>
        <w:t>The </w:t>
      </w:r>
      <w:r>
        <w:rPr>
          <w:spacing w:val="-4"/>
        </w:rPr>
        <w:t>Council’s interest </w:t>
      </w:r>
      <w:r>
        <w:rPr/>
        <w:t>in </w:t>
      </w:r>
      <w:r>
        <w:rPr>
          <w:spacing w:val="-4"/>
        </w:rPr>
        <w:t>companies </w:t>
      </w:r>
      <w:r>
        <w:rPr/>
        <w:t>is </w:t>
      </w:r>
      <w:r>
        <w:rPr>
          <w:spacing w:val="-4"/>
        </w:rPr>
        <w:t>set out </w:t>
      </w:r>
      <w:r>
        <w:rPr/>
        <w:t>in </w:t>
      </w:r>
      <w:r>
        <w:rPr>
          <w:spacing w:val="-4"/>
        </w:rPr>
        <w:t>appendix </w:t>
      </w:r>
      <w:r>
        <w:rPr/>
        <w:t>8 in </w:t>
      </w:r>
      <w:r>
        <w:rPr>
          <w:spacing w:val="-3"/>
        </w:rPr>
        <w:t>the AFS. This table </w:t>
      </w:r>
      <w:r>
        <w:rPr>
          <w:spacing w:val="-4"/>
        </w:rPr>
        <w:t>includes information </w:t>
      </w:r>
      <w:r>
        <w:rPr>
          <w:spacing w:val="-3"/>
        </w:rPr>
        <w:t>with </w:t>
      </w:r>
      <w:r>
        <w:rPr>
          <w:spacing w:val="-4"/>
        </w:rPr>
        <w:t>regard </w:t>
      </w:r>
      <w:r>
        <w:rPr/>
        <w:t>to </w:t>
      </w:r>
      <w:r>
        <w:rPr>
          <w:spacing w:val="-3"/>
        </w:rPr>
        <w:t>the </w:t>
      </w:r>
      <w:r>
        <w:rPr>
          <w:spacing w:val="-4"/>
        </w:rPr>
        <w:t>extent </w:t>
      </w:r>
      <w:r>
        <w:rPr>
          <w:spacing w:val="-3"/>
        </w:rPr>
        <w:t>of </w:t>
      </w:r>
      <w:r>
        <w:rPr>
          <w:spacing w:val="-4"/>
        </w:rPr>
        <w:t>control exercised </w:t>
      </w:r>
      <w:r>
        <w:rPr>
          <w:spacing w:val="-3"/>
        </w:rPr>
        <w:t>by the </w:t>
      </w:r>
      <w:r>
        <w:rPr>
          <w:spacing w:val="-4"/>
        </w:rPr>
        <w:t>Council, brief financial details </w:t>
      </w:r>
      <w:r>
        <w:rPr>
          <w:spacing w:val="-3"/>
        </w:rPr>
        <w:t>and the date of the </w:t>
      </w:r>
      <w:r>
        <w:rPr>
          <w:spacing w:val="-4"/>
        </w:rPr>
        <w:t>latest financial statements received </w:t>
      </w:r>
      <w:r>
        <w:rPr/>
        <w:t>to </w:t>
      </w:r>
      <w:r>
        <w:rPr>
          <w:spacing w:val="-3"/>
        </w:rPr>
        <w:t>which this </w:t>
      </w:r>
      <w:r>
        <w:rPr>
          <w:spacing w:val="-4"/>
        </w:rPr>
        <w:t>information relates. </w:t>
      </w:r>
      <w:r>
        <w:rPr>
          <w:spacing w:val="-3"/>
        </w:rPr>
        <w:t>None of </w:t>
      </w:r>
      <w:r>
        <w:rPr>
          <w:spacing w:val="-4"/>
        </w:rPr>
        <w:t>these companies </w:t>
      </w:r>
      <w:r>
        <w:rPr>
          <w:spacing w:val="-3"/>
        </w:rPr>
        <w:t>are </w:t>
      </w:r>
      <w:r>
        <w:rPr>
          <w:spacing w:val="-4"/>
        </w:rPr>
        <w:t>consolidated </w:t>
      </w:r>
      <w:r>
        <w:rPr/>
        <w:t>in </w:t>
      </w:r>
      <w:r>
        <w:rPr>
          <w:spacing w:val="-3"/>
        </w:rPr>
        <w:t>the Council’s </w:t>
      </w:r>
      <w:r>
        <w:rPr>
          <w:spacing w:val="-4"/>
        </w:rPr>
        <w:t>AFS.</w:t>
      </w:r>
    </w:p>
    <w:p>
      <w:pPr>
        <w:pStyle w:val="BodyText"/>
        <w:spacing w:before="1"/>
      </w:pPr>
    </w:p>
    <w:p>
      <w:pPr>
        <w:pStyle w:val="Heading2"/>
        <w:numPr>
          <w:ilvl w:val="1"/>
          <w:numId w:val="2"/>
        </w:numPr>
        <w:tabs>
          <w:tab w:pos="826" w:val="left" w:leader="none"/>
        </w:tabs>
        <w:spacing w:line="240" w:lineRule="auto" w:before="0" w:after="0"/>
        <w:ind w:left="826" w:right="0" w:hanging="708"/>
        <w:jc w:val="left"/>
      </w:pPr>
      <w:r>
        <w:rPr>
          <w:spacing w:val="-4"/>
        </w:rPr>
        <w:t>Cavan Regional Sports </w:t>
      </w:r>
      <w:r>
        <w:rPr>
          <w:spacing w:val="-3"/>
        </w:rPr>
        <w:t>and </w:t>
      </w:r>
      <w:r>
        <w:rPr>
          <w:spacing w:val="-4"/>
        </w:rPr>
        <w:t>Leisure </w:t>
      </w:r>
      <w:r>
        <w:rPr>
          <w:spacing w:val="-3"/>
        </w:rPr>
        <w:t>Company</w:t>
      </w:r>
      <w:r>
        <w:rPr>
          <w:spacing w:val="19"/>
        </w:rPr>
        <w:t> </w:t>
      </w:r>
      <w:r>
        <w:rPr>
          <w:spacing w:val="-4"/>
        </w:rPr>
        <w:t>Limited</w:t>
      </w:r>
    </w:p>
    <w:p>
      <w:pPr>
        <w:pStyle w:val="BodyText"/>
        <w:spacing w:before="10"/>
        <w:rPr>
          <w:b/>
          <w:sz w:val="21"/>
        </w:rPr>
      </w:pPr>
    </w:p>
    <w:p>
      <w:pPr>
        <w:pStyle w:val="BodyText"/>
        <w:ind w:left="826" w:right="170"/>
      </w:pPr>
      <w:r>
        <w:rPr>
          <w:spacing w:val="-3"/>
        </w:rPr>
        <w:t>The </w:t>
      </w:r>
      <w:r>
        <w:rPr>
          <w:spacing w:val="-4"/>
        </w:rPr>
        <w:t>principal activity </w:t>
      </w:r>
      <w:r>
        <w:rPr>
          <w:spacing w:val="-3"/>
        </w:rPr>
        <w:t>of this </w:t>
      </w:r>
      <w:r>
        <w:rPr>
          <w:spacing w:val="-4"/>
        </w:rPr>
        <w:t>company </w:t>
      </w:r>
      <w:r>
        <w:rPr/>
        <w:t>is </w:t>
      </w:r>
      <w:r>
        <w:rPr>
          <w:spacing w:val="-3"/>
        </w:rPr>
        <w:t>the </w:t>
      </w:r>
      <w:r>
        <w:rPr>
          <w:spacing w:val="-4"/>
        </w:rPr>
        <w:t>provision </w:t>
      </w:r>
      <w:r>
        <w:rPr>
          <w:spacing w:val="-3"/>
        </w:rPr>
        <w:t>of </w:t>
      </w:r>
      <w:r>
        <w:rPr>
          <w:spacing w:val="-4"/>
        </w:rPr>
        <w:t>sports </w:t>
      </w:r>
      <w:r>
        <w:rPr>
          <w:spacing w:val="-3"/>
        </w:rPr>
        <w:t>and </w:t>
      </w:r>
      <w:r>
        <w:rPr>
          <w:spacing w:val="-4"/>
        </w:rPr>
        <w:t>leisure </w:t>
      </w:r>
      <w:r>
        <w:rPr>
          <w:spacing w:val="-3"/>
        </w:rPr>
        <w:t>facilities </w:t>
      </w:r>
      <w:r>
        <w:rPr/>
        <w:t>to </w:t>
      </w:r>
      <w:r>
        <w:rPr>
          <w:spacing w:val="-3"/>
        </w:rPr>
        <w:t>the public. </w:t>
      </w:r>
      <w:r>
        <w:rPr/>
        <w:t>In </w:t>
      </w:r>
      <w:r>
        <w:rPr>
          <w:spacing w:val="-4"/>
        </w:rPr>
        <w:t>2015, </w:t>
      </w:r>
      <w:r>
        <w:rPr>
          <w:spacing w:val="-3"/>
        </w:rPr>
        <w:t>the </w:t>
      </w:r>
      <w:r>
        <w:rPr>
          <w:spacing w:val="-4"/>
        </w:rPr>
        <w:t>Council </w:t>
      </w:r>
      <w:r>
        <w:rPr>
          <w:spacing w:val="-3"/>
        </w:rPr>
        <w:t>made </w:t>
      </w:r>
      <w:r>
        <w:rPr>
          <w:spacing w:val="-4"/>
        </w:rPr>
        <w:t>payments </w:t>
      </w:r>
      <w:r>
        <w:rPr>
          <w:spacing w:val="-3"/>
        </w:rPr>
        <w:t>totalling </w:t>
      </w:r>
      <w:r>
        <w:rPr>
          <w:spacing w:val="-4"/>
        </w:rPr>
        <w:t>€204k </w:t>
      </w:r>
      <w:r>
        <w:rPr/>
        <w:t>to </w:t>
      </w:r>
      <w:r>
        <w:rPr>
          <w:spacing w:val="-3"/>
        </w:rPr>
        <w:t>this </w:t>
      </w:r>
      <w:r>
        <w:rPr>
          <w:spacing w:val="-4"/>
        </w:rPr>
        <w:t>company, including </w:t>
      </w:r>
      <w:r>
        <w:rPr>
          <w:spacing w:val="-3"/>
        </w:rPr>
        <w:t>€103k as </w:t>
      </w:r>
      <w:r>
        <w:rPr/>
        <w:t>a </w:t>
      </w:r>
      <w:r>
        <w:rPr>
          <w:spacing w:val="-4"/>
        </w:rPr>
        <w:t>contribution </w:t>
      </w:r>
      <w:r>
        <w:rPr/>
        <w:t>to </w:t>
      </w:r>
      <w:r>
        <w:rPr>
          <w:spacing w:val="-3"/>
        </w:rPr>
        <w:t>loan </w:t>
      </w:r>
      <w:r>
        <w:rPr>
          <w:spacing w:val="-4"/>
        </w:rPr>
        <w:t>repayments and €32k </w:t>
      </w:r>
      <w:r>
        <w:rPr/>
        <w:t>in </w:t>
      </w:r>
      <w:r>
        <w:rPr>
          <w:spacing w:val="-4"/>
        </w:rPr>
        <w:t>cash </w:t>
      </w:r>
      <w:r>
        <w:rPr>
          <w:spacing w:val="-3"/>
        </w:rPr>
        <w:t>flow </w:t>
      </w:r>
      <w:r>
        <w:rPr>
          <w:spacing w:val="-4"/>
        </w:rPr>
        <w:t>assistance.</w:t>
      </w:r>
    </w:p>
    <w:p>
      <w:pPr>
        <w:pStyle w:val="BodyText"/>
        <w:spacing w:before="1"/>
      </w:pPr>
    </w:p>
    <w:p>
      <w:pPr>
        <w:pStyle w:val="BodyText"/>
        <w:ind w:left="826" w:right="116"/>
      </w:pPr>
      <w:r>
        <w:rPr>
          <w:spacing w:val="-3"/>
        </w:rPr>
        <w:t>The most </w:t>
      </w:r>
      <w:r>
        <w:rPr>
          <w:spacing w:val="-4"/>
        </w:rPr>
        <w:t>recent audited accounts received </w:t>
      </w:r>
      <w:r>
        <w:rPr/>
        <w:t>in </w:t>
      </w:r>
      <w:r>
        <w:rPr>
          <w:spacing w:val="-4"/>
        </w:rPr>
        <w:t>respect </w:t>
      </w:r>
      <w:r>
        <w:rPr>
          <w:spacing w:val="-3"/>
        </w:rPr>
        <w:t>of this </w:t>
      </w:r>
      <w:r>
        <w:rPr>
          <w:spacing w:val="-4"/>
        </w:rPr>
        <w:t>company </w:t>
      </w:r>
      <w:r>
        <w:rPr/>
        <w:t>are </w:t>
      </w:r>
      <w:r>
        <w:rPr>
          <w:spacing w:val="-3"/>
        </w:rPr>
        <w:t>for </w:t>
      </w:r>
      <w:r>
        <w:rPr/>
        <w:t>the </w:t>
      </w:r>
      <w:r>
        <w:rPr>
          <w:spacing w:val="-4"/>
        </w:rPr>
        <w:t>year ended </w:t>
      </w:r>
      <w:r>
        <w:rPr>
          <w:spacing w:val="-3"/>
        </w:rPr>
        <w:t>30 </w:t>
      </w:r>
      <w:r>
        <w:rPr>
          <w:spacing w:val="-4"/>
        </w:rPr>
        <w:t>June 2014, </w:t>
      </w:r>
      <w:r>
        <w:rPr>
          <w:spacing w:val="-3"/>
        </w:rPr>
        <w:t>when </w:t>
      </w:r>
      <w:r>
        <w:rPr/>
        <w:t>it </w:t>
      </w:r>
      <w:r>
        <w:rPr>
          <w:spacing w:val="-4"/>
        </w:rPr>
        <w:t>recorded </w:t>
      </w:r>
      <w:r>
        <w:rPr/>
        <w:t>a </w:t>
      </w:r>
      <w:r>
        <w:rPr>
          <w:spacing w:val="-4"/>
        </w:rPr>
        <w:t>surplus </w:t>
      </w:r>
      <w:r>
        <w:rPr>
          <w:spacing w:val="-3"/>
        </w:rPr>
        <w:t>for </w:t>
      </w:r>
      <w:r>
        <w:rPr/>
        <w:t>the </w:t>
      </w:r>
      <w:r>
        <w:rPr>
          <w:spacing w:val="-3"/>
        </w:rPr>
        <w:t>year of </w:t>
      </w:r>
      <w:r>
        <w:rPr>
          <w:spacing w:val="-4"/>
        </w:rPr>
        <w:t>€16k (€56k </w:t>
      </w:r>
      <w:r>
        <w:rPr/>
        <w:t>in </w:t>
      </w:r>
      <w:r>
        <w:rPr>
          <w:spacing w:val="-4"/>
        </w:rPr>
        <w:t>2013). </w:t>
      </w:r>
      <w:r>
        <w:rPr>
          <w:spacing w:val="-3"/>
        </w:rPr>
        <w:t>The </w:t>
      </w:r>
      <w:r>
        <w:rPr>
          <w:spacing w:val="-4"/>
        </w:rPr>
        <w:t>accounts disclose that </w:t>
      </w:r>
      <w:r>
        <w:rPr>
          <w:spacing w:val="-3"/>
        </w:rPr>
        <w:t>the </w:t>
      </w:r>
      <w:r>
        <w:rPr>
          <w:spacing w:val="-4"/>
        </w:rPr>
        <w:t>company </w:t>
      </w:r>
      <w:r>
        <w:rPr>
          <w:spacing w:val="-3"/>
        </w:rPr>
        <w:t>relies on </w:t>
      </w:r>
      <w:r>
        <w:rPr/>
        <w:t>the </w:t>
      </w:r>
      <w:r>
        <w:rPr>
          <w:spacing w:val="-4"/>
        </w:rPr>
        <w:t>Council </w:t>
      </w:r>
      <w:r>
        <w:rPr/>
        <w:t>to </w:t>
      </w:r>
      <w:r>
        <w:rPr>
          <w:spacing w:val="-4"/>
        </w:rPr>
        <w:t>fund </w:t>
      </w:r>
      <w:r>
        <w:rPr>
          <w:spacing w:val="-3"/>
        </w:rPr>
        <w:t>the </w:t>
      </w:r>
      <w:r>
        <w:rPr>
          <w:spacing w:val="-4"/>
        </w:rPr>
        <w:t>repayments </w:t>
      </w:r>
      <w:r>
        <w:rPr>
          <w:spacing w:val="-3"/>
        </w:rPr>
        <w:t>of </w:t>
      </w:r>
      <w:r>
        <w:rPr>
          <w:spacing w:val="-4"/>
        </w:rPr>
        <w:t>loans </w:t>
      </w:r>
      <w:r>
        <w:rPr>
          <w:spacing w:val="-3"/>
        </w:rPr>
        <w:t>which at </w:t>
      </w:r>
      <w:r>
        <w:rPr/>
        <w:t>30 </w:t>
      </w:r>
      <w:r>
        <w:rPr>
          <w:spacing w:val="-4"/>
        </w:rPr>
        <w:t>June </w:t>
      </w:r>
      <w:r>
        <w:rPr>
          <w:spacing w:val="-3"/>
        </w:rPr>
        <w:t>2014 </w:t>
      </w:r>
      <w:r>
        <w:rPr>
          <w:spacing w:val="-4"/>
        </w:rPr>
        <w:t>stood </w:t>
      </w:r>
      <w:r>
        <w:rPr>
          <w:spacing w:val="-3"/>
        </w:rPr>
        <w:t>at </w:t>
      </w:r>
      <w:r>
        <w:rPr>
          <w:spacing w:val="-4"/>
        </w:rPr>
        <w:t>€1.03m. </w:t>
      </w:r>
      <w:r>
        <w:rPr/>
        <w:t>A </w:t>
      </w:r>
      <w:r>
        <w:rPr>
          <w:spacing w:val="-3"/>
        </w:rPr>
        <w:t>letter of </w:t>
      </w:r>
      <w:r>
        <w:rPr>
          <w:spacing w:val="-4"/>
        </w:rPr>
        <w:t>comfort has </w:t>
      </w:r>
      <w:r>
        <w:rPr>
          <w:spacing w:val="-3"/>
        </w:rPr>
        <w:t>been </w:t>
      </w:r>
      <w:r>
        <w:rPr>
          <w:spacing w:val="-4"/>
        </w:rPr>
        <w:t>provided </w:t>
      </w:r>
      <w:r>
        <w:rPr/>
        <w:t>by </w:t>
      </w:r>
      <w:r>
        <w:rPr>
          <w:spacing w:val="-3"/>
        </w:rPr>
        <w:t>the </w:t>
      </w:r>
      <w:r>
        <w:rPr>
          <w:spacing w:val="-4"/>
        </w:rPr>
        <w:t>Council </w:t>
      </w:r>
      <w:r>
        <w:rPr/>
        <w:t>in </w:t>
      </w:r>
      <w:r>
        <w:rPr>
          <w:spacing w:val="-3"/>
        </w:rPr>
        <w:t>this </w:t>
      </w:r>
      <w:r>
        <w:rPr>
          <w:spacing w:val="-4"/>
        </w:rPr>
        <w:t>regard. </w:t>
      </w:r>
      <w:r>
        <w:rPr>
          <w:spacing w:val="-3"/>
        </w:rPr>
        <w:t>The </w:t>
      </w:r>
      <w:r>
        <w:rPr>
          <w:spacing w:val="-4"/>
        </w:rPr>
        <w:t>accounts </w:t>
      </w:r>
      <w:r>
        <w:rPr>
          <w:spacing w:val="-3"/>
        </w:rPr>
        <w:t>also </w:t>
      </w:r>
      <w:r>
        <w:rPr>
          <w:spacing w:val="-4"/>
        </w:rPr>
        <w:t>disclose </w:t>
      </w:r>
      <w:r>
        <w:rPr>
          <w:spacing w:val="-3"/>
        </w:rPr>
        <w:t>that the </w:t>
      </w:r>
      <w:r>
        <w:rPr>
          <w:spacing w:val="-4"/>
        </w:rPr>
        <w:t>Council </w:t>
      </w:r>
      <w:r>
        <w:rPr>
          <w:spacing w:val="-3"/>
        </w:rPr>
        <w:t>has given </w:t>
      </w:r>
      <w:r>
        <w:rPr>
          <w:spacing w:val="-4"/>
        </w:rPr>
        <w:t>assurance </w:t>
      </w:r>
      <w:r>
        <w:rPr>
          <w:spacing w:val="-3"/>
        </w:rPr>
        <w:t>that </w:t>
      </w:r>
      <w:r>
        <w:rPr/>
        <w:t>it </w:t>
      </w:r>
      <w:r>
        <w:rPr>
          <w:spacing w:val="-4"/>
        </w:rPr>
        <w:t>will continue </w:t>
      </w:r>
      <w:r>
        <w:rPr/>
        <w:t>to </w:t>
      </w:r>
      <w:r>
        <w:rPr>
          <w:spacing w:val="-4"/>
        </w:rPr>
        <w:t>support </w:t>
      </w:r>
      <w:r>
        <w:rPr>
          <w:spacing w:val="-3"/>
        </w:rPr>
        <w:t>the </w:t>
      </w:r>
      <w:r>
        <w:rPr>
          <w:spacing w:val="-4"/>
        </w:rPr>
        <w:t>company </w:t>
      </w:r>
      <w:r>
        <w:rPr>
          <w:spacing w:val="-3"/>
        </w:rPr>
        <w:t>for the </w:t>
      </w:r>
      <w:r>
        <w:rPr>
          <w:spacing w:val="-4"/>
        </w:rPr>
        <w:t>next </w:t>
      </w:r>
      <w:r>
        <w:rPr>
          <w:spacing w:val="-3"/>
        </w:rPr>
        <w:t>12 </w:t>
      </w:r>
      <w:r>
        <w:rPr>
          <w:spacing w:val="-4"/>
        </w:rPr>
        <w:t>months.</w:t>
      </w:r>
    </w:p>
    <w:p>
      <w:pPr>
        <w:spacing w:after="0"/>
        <w:sectPr>
          <w:headerReference w:type="default" r:id="rId13"/>
          <w:pgSz w:w="11910" w:h="16840"/>
          <w:pgMar w:header="1442" w:footer="426" w:top="1660" w:bottom="620" w:left="1680" w:right="1680"/>
        </w:sectPr>
      </w:pPr>
    </w:p>
    <w:p>
      <w:pPr>
        <w:pStyle w:val="BodyText"/>
        <w:rPr>
          <w:sz w:val="16"/>
        </w:rPr>
      </w:pPr>
    </w:p>
    <w:p>
      <w:pPr>
        <w:pStyle w:val="BodyText"/>
        <w:spacing w:before="74"/>
        <w:ind w:left="826" w:right="208"/>
      </w:pPr>
      <w:r>
        <w:rPr>
          <w:spacing w:val="-3"/>
        </w:rPr>
        <w:t>The </w:t>
      </w:r>
      <w:r>
        <w:rPr>
          <w:spacing w:val="-4"/>
        </w:rPr>
        <w:t>Council has provided </w:t>
      </w:r>
      <w:r>
        <w:rPr/>
        <w:t>a </w:t>
      </w:r>
      <w:r>
        <w:rPr>
          <w:spacing w:val="-3"/>
        </w:rPr>
        <w:t>letter of </w:t>
      </w:r>
      <w:r>
        <w:rPr>
          <w:spacing w:val="-4"/>
        </w:rPr>
        <w:t>comfort </w:t>
      </w:r>
      <w:r>
        <w:rPr/>
        <w:t>to </w:t>
      </w:r>
      <w:r>
        <w:rPr>
          <w:spacing w:val="-3"/>
        </w:rPr>
        <w:t>the bank </w:t>
      </w:r>
      <w:r>
        <w:rPr/>
        <w:t>in </w:t>
      </w:r>
      <w:r>
        <w:rPr>
          <w:spacing w:val="-4"/>
        </w:rPr>
        <w:t>relation </w:t>
      </w:r>
      <w:r>
        <w:rPr/>
        <w:t>to </w:t>
      </w:r>
      <w:r>
        <w:rPr>
          <w:spacing w:val="-4"/>
        </w:rPr>
        <w:t>borrowings </w:t>
      </w:r>
      <w:r>
        <w:rPr>
          <w:spacing w:val="-3"/>
        </w:rPr>
        <w:t>of Cavan </w:t>
      </w:r>
      <w:r>
        <w:rPr>
          <w:spacing w:val="-4"/>
        </w:rPr>
        <w:t>Regional Health Sports </w:t>
      </w:r>
      <w:r>
        <w:rPr>
          <w:spacing w:val="-3"/>
        </w:rPr>
        <w:t>and </w:t>
      </w:r>
      <w:r>
        <w:rPr>
          <w:spacing w:val="-4"/>
        </w:rPr>
        <w:t>Leisure </w:t>
      </w:r>
      <w:r>
        <w:rPr/>
        <w:t>Co </w:t>
      </w:r>
      <w:r>
        <w:rPr>
          <w:spacing w:val="-3"/>
        </w:rPr>
        <w:t>Ltd and </w:t>
      </w:r>
      <w:r>
        <w:rPr/>
        <w:t>is </w:t>
      </w:r>
      <w:r>
        <w:rPr>
          <w:spacing w:val="-3"/>
        </w:rPr>
        <w:t>committed </w:t>
      </w:r>
      <w:r>
        <w:rPr/>
        <w:t>to </w:t>
      </w:r>
      <w:r>
        <w:rPr>
          <w:spacing w:val="-4"/>
        </w:rPr>
        <w:t>funding </w:t>
      </w:r>
      <w:r>
        <w:rPr>
          <w:spacing w:val="-3"/>
        </w:rPr>
        <w:t>of </w:t>
      </w:r>
      <w:r>
        <w:rPr>
          <w:spacing w:val="-4"/>
        </w:rPr>
        <w:t>€102,745 </w:t>
      </w:r>
      <w:r>
        <w:rPr>
          <w:spacing w:val="-3"/>
        </w:rPr>
        <w:t>on an </w:t>
      </w:r>
      <w:r>
        <w:rPr>
          <w:spacing w:val="-4"/>
        </w:rPr>
        <w:t>annual basis towards </w:t>
      </w:r>
      <w:r>
        <w:rPr>
          <w:spacing w:val="-3"/>
        </w:rPr>
        <w:t>loan </w:t>
      </w:r>
      <w:r>
        <w:rPr>
          <w:spacing w:val="-4"/>
        </w:rPr>
        <w:t>repayments. </w:t>
      </w:r>
      <w:r>
        <w:rPr>
          <w:spacing w:val="-3"/>
        </w:rPr>
        <w:t>The </w:t>
      </w:r>
      <w:r>
        <w:rPr>
          <w:spacing w:val="-4"/>
        </w:rPr>
        <w:t>company experienced </w:t>
      </w:r>
      <w:r>
        <w:rPr>
          <w:spacing w:val="-3"/>
        </w:rPr>
        <w:t>cash flow </w:t>
      </w:r>
      <w:r>
        <w:rPr>
          <w:spacing w:val="-4"/>
        </w:rPr>
        <w:t>challenges </w:t>
      </w:r>
      <w:r>
        <w:rPr/>
        <w:t>in </w:t>
      </w:r>
      <w:r>
        <w:rPr>
          <w:spacing w:val="-3"/>
        </w:rPr>
        <w:t>2015 which </w:t>
      </w:r>
      <w:r>
        <w:rPr>
          <w:spacing w:val="-4"/>
        </w:rPr>
        <w:t>necessitated further financial assistance from </w:t>
      </w:r>
      <w:r>
        <w:rPr>
          <w:spacing w:val="-3"/>
        </w:rPr>
        <w:t>the </w:t>
      </w:r>
      <w:r>
        <w:rPr>
          <w:spacing w:val="-4"/>
        </w:rPr>
        <w:t>Council </w:t>
      </w:r>
      <w:r>
        <w:rPr/>
        <w:t>in </w:t>
      </w:r>
      <w:r>
        <w:rPr>
          <w:spacing w:val="-4"/>
        </w:rPr>
        <w:t>2015.</w:t>
      </w:r>
    </w:p>
    <w:p>
      <w:pPr>
        <w:pStyle w:val="BodyText"/>
        <w:spacing w:before="10"/>
        <w:rPr>
          <w:sz w:val="21"/>
        </w:rPr>
      </w:pPr>
    </w:p>
    <w:p>
      <w:pPr>
        <w:pStyle w:val="Heading2"/>
        <w:numPr>
          <w:ilvl w:val="0"/>
          <w:numId w:val="2"/>
        </w:numPr>
        <w:tabs>
          <w:tab w:pos="838" w:val="left" w:leader="none"/>
        </w:tabs>
        <w:spacing w:line="240" w:lineRule="auto" w:before="0" w:after="0"/>
        <w:ind w:left="838" w:right="0" w:hanging="720"/>
        <w:jc w:val="left"/>
      </w:pPr>
      <w:r>
        <w:rPr>
          <w:spacing w:val="-4"/>
        </w:rPr>
        <w:t>Corporate</w:t>
      </w:r>
      <w:r>
        <w:rPr>
          <w:spacing w:val="11"/>
        </w:rPr>
        <w:t> </w:t>
      </w:r>
      <w:r>
        <w:rPr>
          <w:spacing w:val="-4"/>
        </w:rPr>
        <w:t>Governance</w:t>
      </w:r>
    </w:p>
    <w:p>
      <w:pPr>
        <w:pStyle w:val="BodyText"/>
        <w:spacing w:before="10"/>
        <w:rPr>
          <w:b/>
          <w:sz w:val="21"/>
        </w:rPr>
      </w:pPr>
    </w:p>
    <w:p>
      <w:pPr>
        <w:pStyle w:val="BodyText"/>
        <w:ind w:left="838" w:right="116"/>
      </w:pPr>
      <w:r>
        <w:rPr>
          <w:spacing w:val="-4"/>
        </w:rPr>
        <w:t>Corporate governance comprises </w:t>
      </w:r>
      <w:r>
        <w:rPr>
          <w:spacing w:val="-3"/>
        </w:rPr>
        <w:t>the </w:t>
      </w:r>
      <w:r>
        <w:rPr>
          <w:spacing w:val="-4"/>
        </w:rPr>
        <w:t>systems </w:t>
      </w:r>
      <w:r>
        <w:rPr>
          <w:spacing w:val="-3"/>
        </w:rPr>
        <w:t>and </w:t>
      </w:r>
      <w:r>
        <w:rPr>
          <w:spacing w:val="-4"/>
        </w:rPr>
        <w:t>procedures </w:t>
      </w:r>
      <w:r>
        <w:rPr>
          <w:spacing w:val="-3"/>
        </w:rPr>
        <w:t>by </w:t>
      </w:r>
      <w:r>
        <w:rPr>
          <w:spacing w:val="-4"/>
        </w:rPr>
        <w:t>which enterprises </w:t>
      </w:r>
      <w:r>
        <w:rPr>
          <w:spacing w:val="-3"/>
        </w:rPr>
        <w:t>are </w:t>
      </w:r>
      <w:r>
        <w:rPr>
          <w:spacing w:val="-4"/>
        </w:rPr>
        <w:t>directed </w:t>
      </w:r>
      <w:r>
        <w:rPr>
          <w:spacing w:val="-3"/>
        </w:rPr>
        <w:t>and </w:t>
      </w:r>
      <w:r>
        <w:rPr>
          <w:spacing w:val="-4"/>
        </w:rPr>
        <w:t>controlled. </w:t>
      </w:r>
      <w:r>
        <w:rPr/>
        <w:t>It is </w:t>
      </w:r>
      <w:r>
        <w:rPr>
          <w:spacing w:val="-3"/>
        </w:rPr>
        <w:t>the </w:t>
      </w:r>
      <w:r>
        <w:rPr>
          <w:spacing w:val="-4"/>
        </w:rPr>
        <w:t>responsibility </w:t>
      </w:r>
      <w:r>
        <w:rPr>
          <w:spacing w:val="-3"/>
        </w:rPr>
        <w:t>of </w:t>
      </w:r>
      <w:r>
        <w:rPr>
          <w:spacing w:val="-4"/>
        </w:rPr>
        <w:t>management </w:t>
      </w:r>
      <w:r>
        <w:rPr/>
        <w:t>to </w:t>
      </w:r>
      <w:r>
        <w:rPr>
          <w:spacing w:val="-4"/>
        </w:rPr>
        <w:t>ensure that </w:t>
      </w:r>
      <w:r>
        <w:rPr>
          <w:spacing w:val="-3"/>
        </w:rPr>
        <w:t>such </w:t>
      </w:r>
      <w:r>
        <w:rPr>
          <w:spacing w:val="-4"/>
        </w:rPr>
        <w:t>systems </w:t>
      </w:r>
      <w:r>
        <w:rPr>
          <w:spacing w:val="-3"/>
        </w:rPr>
        <w:t>and </w:t>
      </w:r>
      <w:r>
        <w:rPr>
          <w:spacing w:val="-4"/>
        </w:rPr>
        <w:t>procedures exist </w:t>
      </w:r>
      <w:r>
        <w:rPr>
          <w:spacing w:val="-3"/>
        </w:rPr>
        <w:t>and are </w:t>
      </w:r>
      <w:r>
        <w:rPr>
          <w:spacing w:val="-4"/>
        </w:rPr>
        <w:t>robust.</w:t>
      </w:r>
    </w:p>
    <w:p>
      <w:pPr>
        <w:pStyle w:val="BodyText"/>
        <w:spacing w:before="11"/>
        <w:rPr>
          <w:sz w:val="21"/>
        </w:rPr>
      </w:pPr>
    </w:p>
    <w:p>
      <w:pPr>
        <w:pStyle w:val="Heading2"/>
        <w:numPr>
          <w:ilvl w:val="1"/>
          <w:numId w:val="2"/>
        </w:numPr>
        <w:tabs>
          <w:tab w:pos="838" w:val="left" w:leader="none"/>
        </w:tabs>
        <w:spacing w:line="240" w:lineRule="auto" w:before="0" w:after="0"/>
        <w:ind w:left="838" w:right="0" w:hanging="720"/>
        <w:jc w:val="left"/>
      </w:pPr>
      <w:r>
        <w:rPr>
          <w:spacing w:val="-4"/>
        </w:rPr>
        <w:t>Internal </w:t>
      </w:r>
      <w:r>
        <w:rPr>
          <w:spacing w:val="-3"/>
        </w:rPr>
        <w:t>Audit</w:t>
      </w:r>
      <w:r>
        <w:rPr>
          <w:spacing w:val="10"/>
        </w:rPr>
        <w:t> </w:t>
      </w:r>
      <w:r>
        <w:rPr>
          <w:spacing w:val="-4"/>
        </w:rPr>
        <w:t>Function</w:t>
      </w:r>
    </w:p>
    <w:p>
      <w:pPr>
        <w:pStyle w:val="BodyText"/>
        <w:spacing w:before="1"/>
        <w:rPr>
          <w:b/>
        </w:rPr>
      </w:pPr>
    </w:p>
    <w:p>
      <w:pPr>
        <w:pStyle w:val="BodyText"/>
        <w:ind w:left="838" w:right="177"/>
      </w:pPr>
      <w:r>
        <w:rPr>
          <w:spacing w:val="-3"/>
        </w:rPr>
        <w:t>The quality of </w:t>
      </w:r>
      <w:r>
        <w:rPr>
          <w:spacing w:val="-4"/>
        </w:rPr>
        <w:t>output </w:t>
      </w:r>
      <w:r>
        <w:rPr>
          <w:spacing w:val="-3"/>
        </w:rPr>
        <w:t>of the </w:t>
      </w:r>
      <w:r>
        <w:rPr>
          <w:spacing w:val="-4"/>
        </w:rPr>
        <w:t>internal </w:t>
      </w:r>
      <w:r>
        <w:rPr>
          <w:spacing w:val="-3"/>
        </w:rPr>
        <w:t>audit unit </w:t>
      </w:r>
      <w:r>
        <w:rPr/>
        <w:t>is </w:t>
      </w:r>
      <w:r>
        <w:rPr>
          <w:spacing w:val="-3"/>
        </w:rPr>
        <w:t>of </w:t>
      </w:r>
      <w:r>
        <w:rPr/>
        <w:t>a </w:t>
      </w:r>
      <w:r>
        <w:rPr>
          <w:spacing w:val="-3"/>
        </w:rPr>
        <w:t>high </w:t>
      </w:r>
      <w:r>
        <w:rPr>
          <w:spacing w:val="-4"/>
        </w:rPr>
        <w:t>standard. However, </w:t>
      </w:r>
      <w:r>
        <w:rPr>
          <w:spacing w:val="-3"/>
        </w:rPr>
        <w:t>given </w:t>
      </w:r>
      <w:r>
        <w:rPr/>
        <w:t>the </w:t>
      </w:r>
      <w:r>
        <w:rPr>
          <w:spacing w:val="-4"/>
        </w:rPr>
        <w:t>size, </w:t>
      </w:r>
      <w:r>
        <w:rPr>
          <w:spacing w:val="-3"/>
        </w:rPr>
        <w:t>scope and nature of </w:t>
      </w:r>
      <w:r>
        <w:rPr>
          <w:spacing w:val="-4"/>
        </w:rPr>
        <w:t>business </w:t>
      </w:r>
      <w:r>
        <w:rPr>
          <w:spacing w:val="-3"/>
        </w:rPr>
        <w:t>of </w:t>
      </w:r>
      <w:r>
        <w:rPr/>
        <w:t>the </w:t>
      </w:r>
      <w:r>
        <w:rPr>
          <w:spacing w:val="-4"/>
        </w:rPr>
        <w:t>local authority, </w:t>
      </w:r>
      <w:r>
        <w:rPr>
          <w:spacing w:val="-3"/>
        </w:rPr>
        <w:t>an </w:t>
      </w:r>
      <w:r>
        <w:rPr>
          <w:spacing w:val="-4"/>
        </w:rPr>
        <w:t>internal </w:t>
      </w:r>
      <w:r>
        <w:rPr>
          <w:spacing w:val="-3"/>
        </w:rPr>
        <w:t>audit unit </w:t>
      </w:r>
      <w:r>
        <w:rPr>
          <w:spacing w:val="-4"/>
        </w:rPr>
        <w:t>consisting </w:t>
      </w:r>
      <w:r>
        <w:rPr>
          <w:spacing w:val="-3"/>
        </w:rPr>
        <w:t>of one staff </w:t>
      </w:r>
      <w:r>
        <w:rPr>
          <w:spacing w:val="-4"/>
        </w:rPr>
        <w:t>member </w:t>
      </w:r>
      <w:r>
        <w:rPr/>
        <w:t>is </w:t>
      </w:r>
      <w:r>
        <w:rPr>
          <w:spacing w:val="-4"/>
        </w:rPr>
        <w:t>inadequate. </w:t>
      </w:r>
      <w:r>
        <w:rPr/>
        <w:t>It is </w:t>
      </w:r>
      <w:r>
        <w:rPr>
          <w:spacing w:val="-4"/>
        </w:rPr>
        <w:t>recommended </w:t>
      </w:r>
      <w:r>
        <w:rPr>
          <w:spacing w:val="-3"/>
        </w:rPr>
        <w:t>that the </w:t>
      </w:r>
      <w:r>
        <w:rPr>
          <w:spacing w:val="-4"/>
        </w:rPr>
        <w:t>Council considers increasing resources </w:t>
      </w:r>
      <w:r>
        <w:rPr/>
        <w:t>to this </w:t>
      </w:r>
      <w:r>
        <w:rPr>
          <w:spacing w:val="-3"/>
        </w:rPr>
        <w:t>unit. This </w:t>
      </w:r>
      <w:r>
        <w:rPr/>
        <w:t>is </w:t>
      </w:r>
      <w:r>
        <w:rPr>
          <w:spacing w:val="-4"/>
        </w:rPr>
        <w:t>imperative </w:t>
      </w:r>
      <w:r>
        <w:rPr/>
        <w:t>to </w:t>
      </w:r>
      <w:r>
        <w:rPr>
          <w:spacing w:val="-4"/>
        </w:rPr>
        <w:t>maintaining </w:t>
      </w:r>
      <w:r>
        <w:rPr>
          <w:spacing w:val="-3"/>
        </w:rPr>
        <w:t>good </w:t>
      </w:r>
      <w:r>
        <w:rPr>
          <w:spacing w:val="-4"/>
        </w:rPr>
        <w:t>corporate</w:t>
      </w:r>
      <w:r>
        <w:rPr>
          <w:spacing w:val="3"/>
        </w:rPr>
        <w:t> </w:t>
      </w:r>
      <w:r>
        <w:rPr>
          <w:spacing w:val="-4"/>
        </w:rPr>
        <w:t>governance.</w:t>
      </w:r>
    </w:p>
    <w:p>
      <w:pPr>
        <w:pStyle w:val="BodyText"/>
        <w:spacing w:before="1"/>
      </w:pPr>
    </w:p>
    <w:p>
      <w:pPr>
        <w:pStyle w:val="BodyText"/>
        <w:ind w:left="838" w:right="208"/>
      </w:pPr>
      <w:r>
        <w:rPr>
          <w:spacing w:val="-3"/>
        </w:rPr>
        <w:t>The </w:t>
      </w:r>
      <w:r>
        <w:rPr>
          <w:spacing w:val="-4"/>
        </w:rPr>
        <w:t>internal auditor reports </w:t>
      </w:r>
      <w:r>
        <w:rPr>
          <w:spacing w:val="-3"/>
        </w:rPr>
        <w:t>directly </w:t>
      </w:r>
      <w:r>
        <w:rPr/>
        <w:t>to </w:t>
      </w:r>
      <w:r>
        <w:rPr>
          <w:spacing w:val="-3"/>
        </w:rPr>
        <w:t>the </w:t>
      </w:r>
      <w:r>
        <w:rPr>
          <w:spacing w:val="-4"/>
        </w:rPr>
        <w:t>audit </w:t>
      </w:r>
      <w:r>
        <w:rPr>
          <w:spacing w:val="-3"/>
        </w:rPr>
        <w:t>committee </w:t>
      </w:r>
      <w:r>
        <w:rPr>
          <w:spacing w:val="-4"/>
        </w:rPr>
        <w:t>and </w:t>
      </w:r>
      <w:r>
        <w:rPr>
          <w:spacing w:val="-3"/>
        </w:rPr>
        <w:t>the </w:t>
      </w:r>
      <w:r>
        <w:rPr>
          <w:spacing w:val="-4"/>
        </w:rPr>
        <w:t>Chief Executive. </w:t>
      </w:r>
      <w:r>
        <w:rPr>
          <w:spacing w:val="-3"/>
        </w:rPr>
        <w:t>The unit </w:t>
      </w:r>
      <w:r>
        <w:rPr>
          <w:spacing w:val="-4"/>
        </w:rPr>
        <w:t>produced </w:t>
      </w:r>
      <w:r>
        <w:rPr>
          <w:spacing w:val="-3"/>
        </w:rPr>
        <w:t>six </w:t>
      </w:r>
      <w:r>
        <w:rPr>
          <w:spacing w:val="-4"/>
        </w:rPr>
        <w:t>reports during </w:t>
      </w:r>
      <w:r>
        <w:rPr/>
        <w:t>the </w:t>
      </w:r>
      <w:r>
        <w:rPr>
          <w:spacing w:val="-4"/>
        </w:rPr>
        <w:t>year </w:t>
      </w:r>
      <w:r>
        <w:rPr/>
        <w:t>in </w:t>
      </w:r>
      <w:r>
        <w:rPr>
          <w:spacing w:val="-4"/>
        </w:rPr>
        <w:t>addition </w:t>
      </w:r>
      <w:r>
        <w:rPr/>
        <w:t>to a </w:t>
      </w:r>
      <w:r>
        <w:rPr>
          <w:spacing w:val="-3"/>
        </w:rPr>
        <w:t>number of </w:t>
      </w:r>
      <w:r>
        <w:rPr>
          <w:spacing w:val="-4"/>
        </w:rPr>
        <w:t>inspection reports </w:t>
      </w:r>
      <w:r>
        <w:rPr>
          <w:spacing w:val="-3"/>
        </w:rPr>
        <w:t>with </w:t>
      </w:r>
      <w:r>
        <w:rPr>
          <w:spacing w:val="-4"/>
        </w:rPr>
        <w:t>regard </w:t>
      </w:r>
      <w:r>
        <w:rPr/>
        <w:t>to </w:t>
      </w:r>
      <w:r>
        <w:rPr>
          <w:spacing w:val="-4"/>
        </w:rPr>
        <w:t>internal control procedures.</w:t>
      </w:r>
    </w:p>
    <w:p>
      <w:pPr>
        <w:pStyle w:val="BodyText"/>
        <w:spacing w:before="10"/>
        <w:rPr>
          <w:sz w:val="21"/>
        </w:rPr>
      </w:pPr>
    </w:p>
    <w:p>
      <w:pPr>
        <w:pStyle w:val="BodyText"/>
        <w:ind w:left="838"/>
      </w:pPr>
      <w:r>
        <w:rPr/>
        <w:t>I have taken account of the work of the internal auditor in carrying out my audit.</w:t>
      </w:r>
    </w:p>
    <w:p>
      <w:pPr>
        <w:pStyle w:val="BodyText"/>
        <w:spacing w:before="1"/>
      </w:pPr>
    </w:p>
    <w:p>
      <w:pPr>
        <w:pStyle w:val="Heading2"/>
        <w:spacing w:before="1"/>
        <w:ind w:firstLine="0"/>
      </w:pPr>
      <w:r>
        <w:rPr/>
        <w:t>Chief Executive’s Response</w:t>
      </w:r>
    </w:p>
    <w:p>
      <w:pPr>
        <w:pStyle w:val="BodyText"/>
        <w:spacing w:before="10"/>
        <w:rPr>
          <w:b/>
          <w:sz w:val="21"/>
        </w:rPr>
      </w:pPr>
    </w:p>
    <w:p>
      <w:pPr>
        <w:pStyle w:val="BodyText"/>
        <w:ind w:left="838" w:right="139"/>
      </w:pPr>
      <w:r>
        <w:rPr/>
        <w:t>I </w:t>
      </w:r>
      <w:r>
        <w:rPr>
          <w:spacing w:val="-3"/>
        </w:rPr>
        <w:t>fully </w:t>
      </w:r>
      <w:r>
        <w:rPr>
          <w:spacing w:val="-4"/>
        </w:rPr>
        <w:t>endorse </w:t>
      </w:r>
      <w:r>
        <w:rPr/>
        <w:t>the </w:t>
      </w:r>
      <w:r>
        <w:rPr>
          <w:spacing w:val="-4"/>
        </w:rPr>
        <w:t>viewpoint </w:t>
      </w:r>
      <w:r>
        <w:rPr>
          <w:spacing w:val="-3"/>
        </w:rPr>
        <w:t>that </w:t>
      </w:r>
      <w:r>
        <w:rPr>
          <w:spacing w:val="-4"/>
        </w:rPr>
        <w:t>work </w:t>
      </w:r>
      <w:r>
        <w:rPr>
          <w:spacing w:val="-3"/>
        </w:rPr>
        <w:t>of </w:t>
      </w:r>
      <w:r>
        <w:rPr>
          <w:spacing w:val="-4"/>
        </w:rPr>
        <w:t>internal audit </w:t>
      </w:r>
      <w:r>
        <w:rPr/>
        <w:t>is </w:t>
      </w:r>
      <w:r>
        <w:rPr>
          <w:spacing w:val="-3"/>
        </w:rPr>
        <w:t>of </w:t>
      </w:r>
      <w:r>
        <w:rPr/>
        <w:t>a </w:t>
      </w:r>
      <w:r>
        <w:rPr>
          <w:spacing w:val="-4"/>
        </w:rPr>
        <w:t>very </w:t>
      </w:r>
      <w:r>
        <w:rPr>
          <w:spacing w:val="-3"/>
        </w:rPr>
        <w:t>high </w:t>
      </w:r>
      <w:r>
        <w:rPr>
          <w:spacing w:val="-4"/>
        </w:rPr>
        <w:t>standard </w:t>
      </w:r>
      <w:r>
        <w:rPr>
          <w:spacing w:val="-3"/>
        </w:rPr>
        <w:t>and </w:t>
      </w:r>
      <w:r>
        <w:rPr>
          <w:spacing w:val="-4"/>
        </w:rPr>
        <w:t>represents </w:t>
      </w:r>
      <w:r>
        <w:rPr>
          <w:spacing w:val="-3"/>
        </w:rPr>
        <w:t>an </w:t>
      </w:r>
      <w:r>
        <w:rPr>
          <w:spacing w:val="-4"/>
        </w:rPr>
        <w:t>important </w:t>
      </w:r>
      <w:r>
        <w:rPr>
          <w:spacing w:val="-3"/>
        </w:rPr>
        <w:t>part of </w:t>
      </w:r>
      <w:r>
        <w:rPr>
          <w:spacing w:val="-4"/>
        </w:rPr>
        <w:t>good </w:t>
      </w:r>
      <w:r>
        <w:rPr>
          <w:spacing w:val="-3"/>
        </w:rPr>
        <w:t>corporate </w:t>
      </w:r>
      <w:r>
        <w:rPr>
          <w:spacing w:val="-4"/>
        </w:rPr>
        <w:t>governance framework </w:t>
      </w:r>
      <w:r>
        <w:rPr>
          <w:spacing w:val="-3"/>
        </w:rPr>
        <w:t>of the </w:t>
      </w:r>
      <w:r>
        <w:rPr>
          <w:spacing w:val="-4"/>
        </w:rPr>
        <w:t>Council. </w:t>
      </w:r>
      <w:r>
        <w:rPr>
          <w:spacing w:val="-3"/>
        </w:rPr>
        <w:t>The </w:t>
      </w:r>
      <w:r>
        <w:rPr>
          <w:spacing w:val="-4"/>
        </w:rPr>
        <w:t>Council considers </w:t>
      </w:r>
      <w:r>
        <w:rPr/>
        <w:t>it </w:t>
      </w:r>
      <w:r>
        <w:rPr>
          <w:spacing w:val="-4"/>
        </w:rPr>
        <w:t>provides </w:t>
      </w:r>
      <w:r>
        <w:rPr/>
        <w:t>an </w:t>
      </w:r>
      <w:r>
        <w:rPr>
          <w:spacing w:val="-4"/>
        </w:rPr>
        <w:t>appropriate </w:t>
      </w:r>
      <w:r>
        <w:rPr>
          <w:spacing w:val="-3"/>
        </w:rPr>
        <w:t>level of </w:t>
      </w:r>
      <w:r>
        <w:rPr>
          <w:spacing w:val="-4"/>
        </w:rPr>
        <w:t>resources </w:t>
      </w:r>
      <w:r>
        <w:rPr/>
        <w:t>in </w:t>
      </w:r>
      <w:r>
        <w:rPr>
          <w:spacing w:val="-4"/>
        </w:rPr>
        <w:t>internal </w:t>
      </w:r>
      <w:r>
        <w:rPr>
          <w:spacing w:val="-3"/>
        </w:rPr>
        <w:t>audit </w:t>
      </w:r>
      <w:r>
        <w:rPr>
          <w:spacing w:val="-4"/>
        </w:rPr>
        <w:t>having regard </w:t>
      </w:r>
      <w:r>
        <w:rPr/>
        <w:t>to its </w:t>
      </w:r>
      <w:r>
        <w:rPr>
          <w:spacing w:val="-4"/>
        </w:rPr>
        <w:t>size, budget </w:t>
      </w:r>
      <w:r>
        <w:rPr>
          <w:spacing w:val="-3"/>
        </w:rPr>
        <w:t>and </w:t>
      </w:r>
      <w:r>
        <w:rPr>
          <w:spacing w:val="-4"/>
        </w:rPr>
        <w:t>staff compliment and </w:t>
      </w:r>
      <w:r>
        <w:rPr/>
        <w:t>is </w:t>
      </w:r>
      <w:r>
        <w:rPr>
          <w:spacing w:val="-3"/>
        </w:rPr>
        <w:t>of </w:t>
      </w:r>
      <w:r>
        <w:rPr/>
        <w:t>a </w:t>
      </w:r>
      <w:r>
        <w:rPr>
          <w:spacing w:val="-3"/>
        </w:rPr>
        <w:t>similar </w:t>
      </w:r>
      <w:r>
        <w:rPr>
          <w:spacing w:val="-4"/>
        </w:rPr>
        <w:t>level </w:t>
      </w:r>
      <w:r>
        <w:rPr/>
        <w:t>to </w:t>
      </w:r>
      <w:r>
        <w:rPr>
          <w:spacing w:val="-4"/>
        </w:rPr>
        <w:t>comparable </w:t>
      </w:r>
      <w:r>
        <w:rPr>
          <w:spacing w:val="-3"/>
        </w:rPr>
        <w:t>local </w:t>
      </w:r>
      <w:r>
        <w:rPr>
          <w:spacing w:val="-4"/>
        </w:rPr>
        <w:t>authorities.</w:t>
      </w:r>
    </w:p>
    <w:p>
      <w:pPr>
        <w:pStyle w:val="BodyText"/>
        <w:spacing w:before="10"/>
        <w:rPr>
          <w:sz w:val="21"/>
        </w:rPr>
      </w:pPr>
    </w:p>
    <w:p>
      <w:pPr>
        <w:pStyle w:val="Heading2"/>
        <w:numPr>
          <w:ilvl w:val="0"/>
          <w:numId w:val="2"/>
        </w:numPr>
        <w:tabs>
          <w:tab w:pos="838" w:val="left" w:leader="none"/>
        </w:tabs>
        <w:spacing w:line="240" w:lineRule="auto" w:before="0" w:after="0"/>
        <w:ind w:left="838" w:right="0" w:hanging="720"/>
        <w:jc w:val="left"/>
      </w:pPr>
      <w:r>
        <w:rPr>
          <w:spacing w:val="-4"/>
        </w:rPr>
        <w:t>Acknowledgement</w:t>
      </w:r>
    </w:p>
    <w:p>
      <w:pPr>
        <w:pStyle w:val="BodyText"/>
        <w:spacing w:before="2"/>
        <w:rPr>
          <w:b/>
          <w:sz w:val="24"/>
        </w:rPr>
      </w:pPr>
    </w:p>
    <w:p>
      <w:pPr>
        <w:pStyle w:val="BodyText"/>
        <w:ind w:left="826" w:right="623"/>
      </w:pPr>
      <w:r>
        <w:rPr/>
        <w:t>I wish to record my appreciation for the courtesy and co-operation extended to me by the management and staff of the Council.</w:t>
      </w:r>
    </w:p>
    <w:p>
      <w:pPr>
        <w:pStyle w:val="BodyText"/>
        <w:rPr>
          <w:sz w:val="20"/>
        </w:rPr>
      </w:pPr>
    </w:p>
    <w:p>
      <w:pPr>
        <w:pStyle w:val="BodyText"/>
        <w:spacing w:before="2"/>
        <w:rPr>
          <w:sz w:val="23"/>
        </w:rPr>
      </w:pPr>
      <w:r>
        <w:rPr/>
        <w:drawing>
          <wp:anchor distT="0" distB="0" distL="0" distR="0" allowOverlap="1" layoutInCell="1" locked="0" behindDoc="0" simplePos="0" relativeHeight="1048">
            <wp:simplePos x="0" y="0"/>
            <wp:positionH relativeFrom="page">
              <wp:posOffset>1412875</wp:posOffset>
            </wp:positionH>
            <wp:positionV relativeFrom="paragraph">
              <wp:posOffset>193857</wp:posOffset>
            </wp:positionV>
            <wp:extent cx="2004777" cy="713232"/>
            <wp:effectExtent l="0" t="0" r="0" b="0"/>
            <wp:wrapTopAndBottom/>
            <wp:docPr id="5" name="image3.jpeg" descr=""/>
            <wp:cNvGraphicFramePr>
              <a:graphicFrameLocks noChangeAspect="1"/>
            </wp:cNvGraphicFramePr>
            <a:graphic>
              <a:graphicData uri="http://schemas.openxmlformats.org/drawingml/2006/picture">
                <pic:pic>
                  <pic:nvPicPr>
                    <pic:cNvPr id="6" name="image3.jpeg"/>
                    <pic:cNvPicPr/>
                  </pic:nvPicPr>
                  <pic:blipFill>
                    <a:blip r:embed="rId14" cstate="print"/>
                    <a:stretch>
                      <a:fillRect/>
                    </a:stretch>
                  </pic:blipFill>
                  <pic:spPr>
                    <a:xfrm>
                      <a:off x="0" y="0"/>
                      <a:ext cx="2004777" cy="713232"/>
                    </a:xfrm>
                    <a:prstGeom prst="rect">
                      <a:avLst/>
                    </a:prstGeom>
                  </pic:spPr>
                </pic:pic>
              </a:graphicData>
            </a:graphic>
          </wp:anchor>
        </w:drawing>
      </w:r>
      <w:r>
        <w:rPr/>
        <w:pict>
          <v:line style="position:absolute;mso-position-horizontal-relative:page;mso-position-vertical-relative:paragraph;z-index:1072;mso-wrap-distance-left:0;mso-wrap-distance-right:0" from="125.900002pt,82.968330pt" to="238.042531pt,82.968330pt" stroked="true" strokeweight=".552pt" strokecolor="#000000">
            <w10:wrap type="topAndBottom"/>
          </v:line>
        </w:pict>
      </w:r>
    </w:p>
    <w:p>
      <w:pPr>
        <w:pStyle w:val="BodyText"/>
        <w:spacing w:before="7"/>
        <w:rPr>
          <w:sz w:val="13"/>
        </w:rPr>
      </w:pPr>
    </w:p>
    <w:p>
      <w:pPr>
        <w:pStyle w:val="Heading2"/>
        <w:spacing w:line="242" w:lineRule="exact"/>
        <w:ind w:left="826" w:firstLine="0"/>
      </w:pPr>
      <w:r>
        <w:rPr/>
        <w:t>Patrick McCabe</w:t>
      </w:r>
    </w:p>
    <w:p>
      <w:pPr>
        <w:spacing w:before="2"/>
        <w:ind w:left="826" w:right="5428" w:firstLine="0"/>
        <w:jc w:val="left"/>
        <w:rPr>
          <w:b/>
          <w:sz w:val="22"/>
        </w:rPr>
      </w:pPr>
      <w:r>
        <w:rPr>
          <w:b/>
          <w:sz w:val="22"/>
        </w:rPr>
        <w:t>Local Government Auditor 8 July 2016</w:t>
      </w:r>
    </w:p>
    <w:sectPr>
      <w:pgSz w:w="11910" w:h="16840"/>
      <w:pgMar w:header="1442" w:footer="426" w:top="1660" w:bottom="62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Arial Narrow">
    <w:altName w:val="Arial Narrow"/>
    <w:charset w:val="0"/>
    <w:family w:val="swiss"/>
    <w:pitch w:val="variable"/>
  </w:font>
  <w:font w:name="Symbol">
    <w:altName w:val="Symbol"/>
    <w:charset w:val="0"/>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294.929993pt;margin-top:809.596191pt;width:10.7pt;height:14pt;mso-position-horizontal-relative:page;mso-position-vertical-relative:page;z-index:-10384" type="#_x0000_t202" filled="false" stroked="false">
          <v:textbox inset="0,0,0,0">
            <w:txbxContent>
              <w:p>
                <w:pPr>
                  <w:spacing w:line="265" w:lineRule="exact" w:before="0"/>
                  <w:ind w:left="40" w:right="0" w:firstLine="0"/>
                  <w:jc w:val="left"/>
                  <w:rPr>
                    <w:rFonts w:ascii="Arial"/>
                    <w:sz w:val="24"/>
                  </w:rPr>
                </w:pPr>
                <w:r>
                  <w:rPr/>
                  <w:fldChar w:fldCharType="begin"/>
                </w:r>
                <w:r>
                  <w:rPr>
                    <w:rFonts w:ascii="Arial"/>
                    <w:w w:val="99"/>
                    <w:sz w:val="24"/>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4.929993pt;margin-top:809.596191pt;width:10.7pt;height:14pt;mso-position-horizontal-relative:page;mso-position-vertical-relative:page;z-index:-10336" type="#_x0000_t202" filled="false" stroked="false">
          <v:textbox inset="0,0,0,0">
            <w:txbxContent>
              <w:p>
                <w:pPr>
                  <w:spacing w:line="265" w:lineRule="exact" w:before="0"/>
                  <w:ind w:left="40" w:right="0" w:firstLine="0"/>
                  <w:jc w:val="left"/>
                  <w:rPr>
                    <w:rFonts w:ascii="Arial"/>
                    <w:sz w:val="24"/>
                  </w:rPr>
                </w:pPr>
                <w:r>
                  <w:rPr/>
                  <w:fldChar w:fldCharType="begin"/>
                </w:r>
                <w:r>
                  <w:rPr>
                    <w:rFonts w:ascii="Arial"/>
                    <w:w w:val="99"/>
                    <w:sz w:val="24"/>
                  </w:rPr>
                  <w:instrText> PAGE </w:instrText>
                </w:r>
                <w:r>
                  <w:rPr/>
                  <w:fldChar w:fldCharType="separate"/>
                </w:r>
                <w:r>
                  <w:rPr/>
                  <w:t>4</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4.929993pt;margin-top:809.596191pt;width:10.7pt;height:14pt;mso-position-horizontal-relative:page;mso-position-vertical-relative:page;z-index:-10312" type="#_x0000_t202" filled="false" stroked="false">
          <v:textbox inset="0,0,0,0">
            <w:txbxContent>
              <w:p>
                <w:pPr>
                  <w:spacing w:line="265" w:lineRule="exact" w:before="0"/>
                  <w:ind w:left="40" w:right="0" w:firstLine="0"/>
                  <w:jc w:val="left"/>
                  <w:rPr>
                    <w:rFonts w:ascii="Arial"/>
                    <w:sz w:val="24"/>
                  </w:rPr>
                </w:pPr>
                <w:r>
                  <w:rPr/>
                  <w:fldChar w:fldCharType="begin"/>
                </w:r>
                <w:r>
                  <w:rPr>
                    <w:rFonts w:ascii="Arial"/>
                    <w:w w:val="99"/>
                    <w:sz w:val="24"/>
                  </w:rPr>
                  <w:instrText> PAGE </w:instrText>
                </w:r>
                <w:r>
                  <w:rPr/>
                  <w:fldChar w:fldCharType="separate"/>
                </w:r>
                <w:r>
                  <w:rPr/>
                  <w:t>5</w:t>
                </w:r>
                <w:r>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24.900002pt;margin-top:71.118858pt;width:122.35pt;height:13.05pt;mso-position-horizontal-relative:page;mso-position-vertical-relative:page;z-index:-10360" type="#_x0000_t202" filled="false" stroked="false">
          <v:textbox inset="0,0,0,0">
            <w:txbxContent>
              <w:p>
                <w:pPr>
                  <w:spacing w:line="247" w:lineRule="exact" w:before="0"/>
                  <w:ind w:left="20" w:right="0" w:firstLine="0"/>
                  <w:jc w:val="left"/>
                  <w:rPr>
                    <w:b/>
                    <w:sz w:val="22"/>
                  </w:rPr>
                </w:pPr>
                <w:r>
                  <w:rPr>
                    <w:b/>
                    <w:sz w:val="22"/>
                  </w:rPr>
                  <w:t>Chief Executive’s Response</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124.900002pt;margin-top:71.118858pt;width:118.55pt;height:13.05pt;mso-position-horizontal-relative:page;mso-position-vertical-relative:page;z-index:-10288" type="#_x0000_t202" filled="false" stroked="false">
          <v:textbox inset="0,0,0,0">
            <w:txbxContent>
              <w:p>
                <w:pPr>
                  <w:spacing w:line="247" w:lineRule="exact" w:before="0"/>
                  <w:ind w:left="20" w:right="0" w:firstLine="0"/>
                  <w:jc w:val="left"/>
                  <w:rPr>
                    <w:b/>
                    <w:sz w:val="22"/>
                  </w:rPr>
                </w:pPr>
                <w:r>
                  <w:rPr>
                    <w:b/>
                    <w:spacing w:val="-3"/>
                    <w:sz w:val="22"/>
                  </w:rPr>
                  <w:t>Chief </w:t>
                </w:r>
                <w:r>
                  <w:rPr>
                    <w:b/>
                    <w:spacing w:val="-4"/>
                    <w:sz w:val="22"/>
                  </w:rPr>
                  <w:t>Executive’s Response</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3"/>
      <w:numFmt w:val="decimal"/>
      <w:lvlText w:val="%1."/>
      <w:lvlJc w:val="left"/>
      <w:pPr>
        <w:ind w:left="838" w:hanging="720"/>
        <w:jc w:val="left"/>
      </w:pPr>
      <w:rPr>
        <w:rFonts w:hint="default" w:ascii="Arial Narrow" w:hAnsi="Arial Narrow" w:eastAsia="Arial Narrow" w:cs="Arial Narrow"/>
        <w:b/>
        <w:bCs/>
        <w:spacing w:val="-5"/>
        <w:w w:val="100"/>
        <w:sz w:val="22"/>
        <w:szCs w:val="22"/>
      </w:rPr>
    </w:lvl>
    <w:lvl w:ilvl="1">
      <w:start w:val="1"/>
      <w:numFmt w:val="decimal"/>
      <w:lvlText w:val="%1.%2"/>
      <w:lvlJc w:val="left"/>
      <w:pPr>
        <w:ind w:left="838" w:hanging="720"/>
        <w:jc w:val="left"/>
      </w:pPr>
      <w:rPr>
        <w:rFonts w:hint="default" w:ascii="Arial Narrow" w:hAnsi="Arial Narrow" w:eastAsia="Arial Narrow" w:cs="Arial Narrow"/>
        <w:b/>
        <w:bCs/>
        <w:spacing w:val="-5"/>
        <w:w w:val="100"/>
        <w:sz w:val="22"/>
        <w:szCs w:val="22"/>
      </w:rPr>
    </w:lvl>
    <w:lvl w:ilvl="2">
      <w:start w:val="1"/>
      <w:numFmt w:val="bullet"/>
      <w:lvlText w:val=""/>
      <w:lvlJc w:val="left"/>
      <w:pPr>
        <w:ind w:left="1558" w:hanging="360"/>
      </w:pPr>
      <w:rPr>
        <w:rFonts w:hint="default" w:ascii="Symbol" w:hAnsi="Symbol" w:eastAsia="Symbol" w:cs="Symbol"/>
        <w:w w:val="46"/>
        <w:sz w:val="22"/>
        <w:szCs w:val="22"/>
      </w:rPr>
    </w:lvl>
    <w:lvl w:ilvl="3">
      <w:start w:val="1"/>
      <w:numFmt w:val="bullet"/>
      <w:lvlText w:val="•"/>
      <w:lvlJc w:val="left"/>
      <w:pPr>
        <w:ind w:left="2433" w:hanging="360"/>
      </w:pPr>
      <w:rPr>
        <w:rFonts w:hint="default"/>
      </w:rPr>
    </w:lvl>
    <w:lvl w:ilvl="4">
      <w:start w:val="1"/>
      <w:numFmt w:val="bullet"/>
      <w:lvlText w:val="•"/>
      <w:lvlJc w:val="left"/>
      <w:pPr>
        <w:ind w:left="3306" w:hanging="360"/>
      </w:pPr>
      <w:rPr>
        <w:rFonts w:hint="default"/>
      </w:rPr>
    </w:lvl>
    <w:lvl w:ilvl="5">
      <w:start w:val="1"/>
      <w:numFmt w:val="bullet"/>
      <w:lvlText w:val="•"/>
      <w:lvlJc w:val="left"/>
      <w:pPr>
        <w:ind w:left="4179" w:hanging="360"/>
      </w:pPr>
      <w:rPr>
        <w:rFonts w:hint="default"/>
      </w:rPr>
    </w:lvl>
    <w:lvl w:ilvl="6">
      <w:start w:val="1"/>
      <w:numFmt w:val="bullet"/>
      <w:lvlText w:val="•"/>
      <w:lvlJc w:val="left"/>
      <w:pPr>
        <w:ind w:left="5053" w:hanging="360"/>
      </w:pPr>
      <w:rPr>
        <w:rFonts w:hint="default"/>
      </w:rPr>
    </w:lvl>
    <w:lvl w:ilvl="7">
      <w:start w:val="1"/>
      <w:numFmt w:val="bullet"/>
      <w:lvlText w:val="•"/>
      <w:lvlJc w:val="left"/>
      <w:pPr>
        <w:ind w:left="5926" w:hanging="360"/>
      </w:pPr>
      <w:rPr>
        <w:rFonts w:hint="default"/>
      </w:rPr>
    </w:lvl>
    <w:lvl w:ilvl="8">
      <w:start w:val="1"/>
      <w:numFmt w:val="bullet"/>
      <w:lvlText w:val="•"/>
      <w:lvlJc w:val="left"/>
      <w:pPr>
        <w:ind w:left="6799" w:hanging="360"/>
      </w:pPr>
      <w:rPr>
        <w:rFonts w:hint="default"/>
      </w:rPr>
    </w:lvl>
  </w:abstractNum>
  <w:abstractNum w:abstractNumId="0">
    <w:multiLevelType w:val="hybridMultilevel"/>
    <w:lvl w:ilvl="0">
      <w:start w:val="2"/>
      <w:numFmt w:val="decimal"/>
      <w:lvlText w:val="%1."/>
      <w:lvlJc w:val="left"/>
      <w:pPr>
        <w:ind w:left="838" w:hanging="720"/>
        <w:jc w:val="left"/>
      </w:pPr>
      <w:rPr>
        <w:rFonts w:hint="default" w:ascii="Arial" w:hAnsi="Arial" w:eastAsia="Arial" w:cs="Arial"/>
        <w:b/>
        <w:bCs/>
        <w:spacing w:val="-3"/>
        <w:w w:val="100"/>
        <w:sz w:val="22"/>
        <w:szCs w:val="22"/>
      </w:rPr>
    </w:lvl>
    <w:lvl w:ilvl="1">
      <w:start w:val="1"/>
      <w:numFmt w:val="bullet"/>
      <w:lvlText w:val=""/>
      <w:lvlJc w:val="left"/>
      <w:pPr>
        <w:ind w:left="1546" w:hanging="360"/>
      </w:pPr>
      <w:rPr>
        <w:rFonts w:hint="default" w:ascii="Symbol" w:hAnsi="Symbol" w:eastAsia="Symbol" w:cs="Symbol"/>
        <w:w w:val="46"/>
        <w:sz w:val="22"/>
        <w:szCs w:val="22"/>
      </w:rPr>
    </w:lvl>
    <w:lvl w:ilvl="2">
      <w:start w:val="1"/>
      <w:numFmt w:val="bullet"/>
      <w:lvlText w:val="•"/>
      <w:lvlJc w:val="left"/>
      <w:pPr>
        <w:ind w:left="2318" w:hanging="360"/>
      </w:pPr>
      <w:rPr>
        <w:rFonts w:hint="default"/>
      </w:rPr>
    </w:lvl>
    <w:lvl w:ilvl="3">
      <w:start w:val="1"/>
      <w:numFmt w:val="bullet"/>
      <w:lvlText w:val="•"/>
      <w:lvlJc w:val="left"/>
      <w:pPr>
        <w:ind w:left="3096" w:hanging="360"/>
      </w:pPr>
      <w:rPr>
        <w:rFonts w:hint="default"/>
      </w:rPr>
    </w:lvl>
    <w:lvl w:ilvl="4">
      <w:start w:val="1"/>
      <w:numFmt w:val="bullet"/>
      <w:lvlText w:val="•"/>
      <w:lvlJc w:val="left"/>
      <w:pPr>
        <w:ind w:left="3875" w:hanging="360"/>
      </w:pPr>
      <w:rPr>
        <w:rFonts w:hint="default"/>
      </w:rPr>
    </w:lvl>
    <w:lvl w:ilvl="5">
      <w:start w:val="1"/>
      <w:numFmt w:val="bullet"/>
      <w:lvlText w:val="•"/>
      <w:lvlJc w:val="left"/>
      <w:pPr>
        <w:ind w:left="4653" w:hanging="360"/>
      </w:pPr>
      <w:rPr>
        <w:rFonts w:hint="default"/>
      </w:rPr>
    </w:lvl>
    <w:lvl w:ilvl="6">
      <w:start w:val="1"/>
      <w:numFmt w:val="bullet"/>
      <w:lvlText w:val="•"/>
      <w:lvlJc w:val="left"/>
      <w:pPr>
        <w:ind w:left="5432" w:hanging="360"/>
      </w:pPr>
      <w:rPr>
        <w:rFonts w:hint="default"/>
      </w:rPr>
    </w:lvl>
    <w:lvl w:ilvl="7">
      <w:start w:val="1"/>
      <w:numFmt w:val="bullet"/>
      <w:lvlText w:val="•"/>
      <w:lvlJc w:val="left"/>
      <w:pPr>
        <w:ind w:left="6210" w:hanging="360"/>
      </w:pPr>
      <w:rPr>
        <w:rFonts w:hint="default"/>
      </w:rPr>
    </w:lvl>
    <w:lvl w:ilvl="8">
      <w:start w:val="1"/>
      <w:numFmt w:val="bullet"/>
      <w:lvlText w:val="•"/>
      <w:lvlJc w:val="left"/>
      <w:pPr>
        <w:ind w:left="6989" w:hanging="360"/>
      </w:pPr>
      <w:rPr>
        <w:rFonts w:hint="default"/>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Narrow" w:hAnsi="Arial Narrow" w:eastAsia="Arial Narrow" w:cs="Arial Narrow"/>
    </w:rPr>
  </w:style>
  <w:style w:styleId="BodyText" w:type="paragraph">
    <w:name w:val="Body Text"/>
    <w:basedOn w:val="Normal"/>
    <w:uiPriority w:val="1"/>
    <w:qFormat/>
    <w:pPr/>
    <w:rPr>
      <w:rFonts w:ascii="Arial Narrow" w:hAnsi="Arial Narrow" w:eastAsia="Arial Narrow" w:cs="Arial Narrow"/>
      <w:sz w:val="22"/>
      <w:szCs w:val="22"/>
    </w:rPr>
  </w:style>
  <w:style w:styleId="Heading1" w:type="paragraph">
    <w:name w:val="Heading 1"/>
    <w:basedOn w:val="Normal"/>
    <w:uiPriority w:val="1"/>
    <w:qFormat/>
    <w:pPr>
      <w:ind w:right="2085"/>
      <w:jc w:val="center"/>
      <w:outlineLvl w:val="1"/>
    </w:pPr>
    <w:rPr>
      <w:rFonts w:ascii="Arial Narrow" w:hAnsi="Arial Narrow" w:eastAsia="Arial Narrow" w:cs="Arial Narrow"/>
      <w:b/>
      <w:bCs/>
      <w:sz w:val="28"/>
      <w:szCs w:val="28"/>
    </w:rPr>
  </w:style>
  <w:style w:styleId="Heading2" w:type="paragraph">
    <w:name w:val="Heading 2"/>
    <w:basedOn w:val="Normal"/>
    <w:uiPriority w:val="1"/>
    <w:qFormat/>
    <w:pPr>
      <w:ind w:left="838" w:hanging="720"/>
      <w:outlineLvl w:val="2"/>
    </w:pPr>
    <w:rPr>
      <w:rFonts w:ascii="Arial Narrow" w:hAnsi="Arial Narrow" w:eastAsia="Arial Narrow" w:cs="Arial Narrow"/>
      <w:b/>
      <w:bCs/>
      <w:sz w:val="22"/>
      <w:szCs w:val="22"/>
    </w:rPr>
  </w:style>
  <w:style w:styleId="ListParagraph" w:type="paragraph">
    <w:name w:val="List Paragraph"/>
    <w:basedOn w:val="Normal"/>
    <w:uiPriority w:val="1"/>
    <w:qFormat/>
    <w:pPr>
      <w:ind w:left="838" w:hanging="720"/>
    </w:pPr>
    <w:rPr>
      <w:rFonts w:ascii="Arial Narrow" w:hAnsi="Arial Narrow" w:eastAsia="Arial Narrow" w:cs="Arial Narrow"/>
    </w:rPr>
  </w:style>
  <w:style w:styleId="TableParagraph" w:type="paragraph">
    <w:name w:val="Table Paragraph"/>
    <w:basedOn w:val="Normal"/>
    <w:uiPriority w:val="1"/>
    <w:qFormat/>
    <w:pPr>
      <w:spacing w:before="194"/>
      <w:jc w:val="right"/>
    </w:pPr>
    <w:rPr>
      <w:rFonts w:ascii="Arial Narrow" w:hAnsi="Arial Narrow" w:eastAsia="Arial Narrow" w:cs="Arial Narrow"/>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footer" Target="footer1.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header" Target="header4.xml"/><Relationship Id="rId14" Type="http://schemas.openxmlformats.org/officeDocument/2006/relationships/image" Target="media/image3.jpeg"/><Relationship Id="rId1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Eamonn Daly</dc:creator>
  <dc:title>Appendix 1</dc:title>
  <dcterms:created xsi:type="dcterms:W3CDTF">2016-08-29T14:13:54Z</dcterms:created>
  <dcterms:modified xsi:type="dcterms:W3CDTF">2016-08-29T14:13:54Z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2016-07-08T00:00:00Z</vt:filetime>
  </property>
  <property fmtid="{D5CDD505-2E9C-101B-9397-08002B2CF9AE}" pid="3" name="Creator">
    <vt:lpwstr>Microsoft® Word 2010</vt:lpwstr>
  </property>
  <property fmtid="{D5CDD505-2E9C-101B-9397-08002B2CF9AE}" pid="4" name="LastSaved">
    <vt:filetime>2016-08-29T00:00:00Z</vt:filetime>
  </property>
</Properties>
</file>