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10"/>
        <w:rPr>
          <w:rFonts w:ascii="Times New Roman"/>
          <w:sz w:val="24"/>
        </w:rPr>
      </w:pPr>
    </w:p>
    <w:p>
      <w:pPr>
        <w:pStyle w:val="BodyText"/>
        <w:ind w:left="4077"/>
        <w:rPr>
          <w:rFonts w:ascii="Times New Roman"/>
          <w:sz w:val="20"/>
        </w:rPr>
      </w:pPr>
      <w:r>
        <w:rPr>
          <w:rFonts w:ascii="Times New Roman"/>
          <w:sz w:val="20"/>
        </w:rPr>
        <w:drawing>
          <wp:inline distT="0" distB="0" distL="0" distR="0">
            <wp:extent cx="530733" cy="909827"/>
            <wp:effectExtent l="0" t="0" r="0" b="0"/>
            <wp:docPr id="1" name="image1.jpeg" descr=""/>
            <wp:cNvGraphicFramePr>
              <a:graphicFrameLocks noChangeAspect="1"/>
            </wp:cNvGraphicFramePr>
            <a:graphic>
              <a:graphicData uri="http://schemas.openxmlformats.org/drawingml/2006/picture">
                <pic:pic>
                  <pic:nvPicPr>
                    <pic:cNvPr id="2" name="image1.jpeg"/>
                    <pic:cNvPicPr/>
                  </pic:nvPicPr>
                  <pic:blipFill>
                    <a:blip r:embed="rId5" cstate="print"/>
                    <a:stretch>
                      <a:fillRect/>
                    </a:stretch>
                  </pic:blipFill>
                  <pic:spPr>
                    <a:xfrm>
                      <a:off x="0" y="0"/>
                      <a:ext cx="530733" cy="909827"/>
                    </a:xfrm>
                    <a:prstGeom prst="rect">
                      <a:avLst/>
                    </a:prstGeom>
                  </pic:spPr>
                </pic:pic>
              </a:graphicData>
            </a:graphic>
          </wp:inline>
        </w:drawing>
      </w:r>
      <w:r>
        <w:rPr>
          <w:rFonts w:ascii="Times New Roman"/>
          <w:sz w:val="20"/>
        </w:rPr>
      </w: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5"/>
        </w:rPr>
      </w:pPr>
    </w:p>
    <w:p>
      <w:pPr>
        <w:pStyle w:val="Heading1"/>
        <w:spacing w:before="101"/>
        <w:ind w:left="2087"/>
      </w:pPr>
      <w:r>
        <w:rPr/>
        <w:t>LOCAL GOVERNMENT AUDIT SERVICE</w:t>
      </w:r>
    </w:p>
    <w:p>
      <w:pPr>
        <w:pStyle w:val="BodyText"/>
        <w:rPr>
          <w:b/>
          <w:sz w:val="32"/>
        </w:rPr>
      </w:pPr>
    </w:p>
    <w:p>
      <w:pPr>
        <w:pStyle w:val="BodyText"/>
        <w:rPr>
          <w:b/>
          <w:sz w:val="32"/>
        </w:rPr>
      </w:pPr>
    </w:p>
    <w:p>
      <w:pPr>
        <w:pStyle w:val="BodyText"/>
        <w:spacing w:before="10"/>
        <w:rPr>
          <w:b/>
          <w:sz w:val="47"/>
        </w:rPr>
      </w:pPr>
    </w:p>
    <w:p>
      <w:pPr>
        <w:spacing w:line="720" w:lineRule="auto" w:before="0"/>
        <w:ind w:left="3041" w:right="3041" w:firstLine="0"/>
        <w:jc w:val="center"/>
        <w:rPr>
          <w:b/>
          <w:sz w:val="28"/>
        </w:rPr>
      </w:pPr>
      <w:r>
        <w:rPr>
          <w:b/>
          <w:sz w:val="28"/>
        </w:rPr>
        <w:t>Statutory Audit Report to the</w:t>
      </w:r>
    </w:p>
    <w:p>
      <w:pPr>
        <w:spacing w:line="720" w:lineRule="auto" w:before="0"/>
        <w:ind w:left="2372" w:right="2369" w:firstLine="0"/>
        <w:jc w:val="center"/>
        <w:rPr>
          <w:b/>
          <w:sz w:val="28"/>
        </w:rPr>
      </w:pPr>
      <w:r>
        <w:rPr>
          <w:b/>
          <w:sz w:val="28"/>
        </w:rPr>
        <w:t>Members of Cavan County Council for the</w:t>
      </w:r>
    </w:p>
    <w:p>
      <w:pPr>
        <w:spacing w:line="320" w:lineRule="exact" w:before="1"/>
        <w:ind w:left="2085" w:right="2085" w:firstLine="0"/>
        <w:jc w:val="center"/>
        <w:rPr>
          <w:b/>
          <w:sz w:val="28"/>
        </w:rPr>
      </w:pPr>
      <w:r>
        <w:rPr>
          <w:b/>
          <w:sz w:val="28"/>
        </w:rPr>
        <w:t>Year Ended 31 December 2016</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7"/>
        <w:rPr>
          <w:b/>
          <w:sz w:val="21"/>
        </w:rPr>
      </w:pPr>
      <w:r>
        <w:rPr/>
        <w:drawing>
          <wp:anchor distT="0" distB="0" distL="0" distR="0" allowOverlap="1" layoutInCell="1" locked="0" behindDoc="0" simplePos="0" relativeHeight="0">
            <wp:simplePos x="0" y="0"/>
            <wp:positionH relativeFrom="page">
              <wp:posOffset>1141730</wp:posOffset>
            </wp:positionH>
            <wp:positionV relativeFrom="paragraph">
              <wp:posOffset>182771</wp:posOffset>
            </wp:positionV>
            <wp:extent cx="4000593" cy="556069"/>
            <wp:effectExtent l="0" t="0" r="0" b="0"/>
            <wp:wrapTopAndBottom/>
            <wp:docPr id="3" name="image2.jpeg" descr=""/>
            <wp:cNvGraphicFramePr>
              <a:graphicFrameLocks noChangeAspect="1"/>
            </wp:cNvGraphicFramePr>
            <a:graphic>
              <a:graphicData uri="http://schemas.openxmlformats.org/drawingml/2006/picture">
                <pic:pic>
                  <pic:nvPicPr>
                    <pic:cNvPr id="4" name="image2.jpeg"/>
                    <pic:cNvPicPr/>
                  </pic:nvPicPr>
                  <pic:blipFill>
                    <a:blip r:embed="rId6" cstate="print"/>
                    <a:stretch>
                      <a:fillRect/>
                    </a:stretch>
                  </pic:blipFill>
                  <pic:spPr>
                    <a:xfrm>
                      <a:off x="0" y="0"/>
                      <a:ext cx="4000593" cy="556069"/>
                    </a:xfrm>
                    <a:prstGeom prst="rect">
                      <a:avLst/>
                    </a:prstGeom>
                  </pic:spPr>
                </pic:pic>
              </a:graphicData>
            </a:graphic>
          </wp:anchor>
        </w:drawing>
      </w:r>
    </w:p>
    <w:p>
      <w:pPr>
        <w:spacing w:after="0"/>
        <w:rPr>
          <w:sz w:val="21"/>
        </w:rPr>
        <w:sectPr>
          <w:type w:val="continuous"/>
          <w:pgSz w:w="11910" w:h="16840"/>
          <w:pgMar w:top="1580" w:bottom="280" w:left="1680" w:right="1680"/>
        </w:sectPr>
      </w:pPr>
    </w:p>
    <w:p>
      <w:pPr>
        <w:spacing w:before="75"/>
        <w:ind w:left="118" w:right="0" w:firstLine="0"/>
        <w:jc w:val="left"/>
        <w:rPr>
          <w:b/>
          <w:sz w:val="28"/>
        </w:rPr>
      </w:pPr>
      <w:r>
        <w:rPr>
          <w:b/>
          <w:sz w:val="28"/>
        </w:rPr>
        <w:t>CONTENTS</w:t>
      </w:r>
    </w:p>
    <w:p>
      <w:pPr>
        <w:spacing w:line="321" w:lineRule="exact" w:before="0"/>
        <w:ind w:left="0" w:right="552" w:firstLine="0"/>
        <w:jc w:val="right"/>
        <w:rPr>
          <w:b/>
          <w:sz w:val="28"/>
        </w:rPr>
      </w:pPr>
      <w:r>
        <w:rPr>
          <w:b/>
          <w:sz w:val="28"/>
        </w:rPr>
        <w:t>Paragraph</w:t>
      </w:r>
    </w:p>
    <w:p>
      <w:pPr>
        <w:tabs>
          <w:tab w:pos="7500" w:val="right" w:leader="none"/>
        </w:tabs>
        <w:spacing w:before="0"/>
        <w:ind w:left="118" w:right="0" w:firstLine="0"/>
        <w:jc w:val="left"/>
        <w:rPr>
          <w:sz w:val="28"/>
        </w:rPr>
      </w:pPr>
      <w:r>
        <w:rPr>
          <w:sz w:val="28"/>
        </w:rPr>
        <w:t>Introduction</w:t>
        <w:tab/>
        <w:t>1</w:t>
      </w:r>
    </w:p>
    <w:p>
      <w:pPr>
        <w:tabs>
          <w:tab w:pos="7500" w:val="right" w:leader="none"/>
        </w:tabs>
        <w:spacing w:before="319"/>
        <w:ind w:left="118" w:right="0" w:firstLine="0"/>
        <w:jc w:val="left"/>
        <w:rPr>
          <w:sz w:val="28"/>
        </w:rPr>
      </w:pPr>
      <w:r>
        <w:rPr>
          <w:sz w:val="28"/>
        </w:rPr>
        <w:t>Financial</w:t>
      </w:r>
      <w:r>
        <w:rPr>
          <w:spacing w:val="-1"/>
          <w:sz w:val="28"/>
        </w:rPr>
        <w:t> </w:t>
      </w:r>
      <w:r>
        <w:rPr>
          <w:sz w:val="28"/>
        </w:rPr>
        <w:t>Standing</w:t>
        <w:tab/>
        <w:t>2</w:t>
      </w:r>
    </w:p>
    <w:p>
      <w:pPr>
        <w:tabs>
          <w:tab w:pos="7500" w:val="right" w:leader="none"/>
        </w:tabs>
        <w:spacing w:before="322"/>
        <w:ind w:left="118" w:right="0" w:firstLine="0"/>
        <w:jc w:val="left"/>
        <w:rPr>
          <w:sz w:val="28"/>
        </w:rPr>
      </w:pPr>
      <w:r>
        <w:rPr>
          <w:sz w:val="28"/>
        </w:rPr>
        <w:t>Income</w:t>
      </w:r>
      <w:r>
        <w:rPr>
          <w:spacing w:val="-3"/>
          <w:sz w:val="28"/>
        </w:rPr>
        <w:t> </w:t>
      </w:r>
      <w:r>
        <w:rPr>
          <w:sz w:val="28"/>
        </w:rPr>
        <w:t>Collection</w:t>
        <w:tab/>
        <w:t>3</w:t>
      </w:r>
    </w:p>
    <w:p>
      <w:pPr>
        <w:tabs>
          <w:tab w:pos="7502" w:val="right" w:leader="none"/>
        </w:tabs>
        <w:spacing w:before="322"/>
        <w:ind w:left="118" w:right="0" w:firstLine="0"/>
        <w:jc w:val="left"/>
        <w:rPr>
          <w:sz w:val="28"/>
        </w:rPr>
      </w:pPr>
      <w:r>
        <w:rPr>
          <w:spacing w:val="-4"/>
          <w:sz w:val="28"/>
        </w:rPr>
        <w:t>Adjustments </w:t>
      </w:r>
      <w:r>
        <w:rPr>
          <w:sz w:val="28"/>
        </w:rPr>
        <w:t>to</w:t>
      </w:r>
      <w:r>
        <w:rPr>
          <w:spacing w:val="-13"/>
          <w:sz w:val="28"/>
        </w:rPr>
        <w:t> </w:t>
      </w:r>
      <w:r>
        <w:rPr>
          <w:spacing w:val="-2"/>
          <w:sz w:val="28"/>
        </w:rPr>
        <w:t>the</w:t>
      </w:r>
      <w:r>
        <w:rPr>
          <w:spacing w:val="-8"/>
          <w:sz w:val="28"/>
        </w:rPr>
        <w:t> </w:t>
      </w:r>
      <w:r>
        <w:rPr>
          <w:spacing w:val="-4"/>
          <w:sz w:val="28"/>
        </w:rPr>
        <w:t>Accounts</w:t>
        <w:tab/>
      </w:r>
      <w:r>
        <w:rPr>
          <w:sz w:val="28"/>
        </w:rPr>
        <w:t>4</w:t>
      </w:r>
    </w:p>
    <w:p>
      <w:pPr>
        <w:tabs>
          <w:tab w:pos="7500" w:val="right" w:leader="none"/>
        </w:tabs>
        <w:spacing w:before="322"/>
        <w:ind w:left="118" w:right="0" w:firstLine="0"/>
        <w:jc w:val="left"/>
        <w:rPr>
          <w:sz w:val="28"/>
        </w:rPr>
      </w:pPr>
      <w:r>
        <w:rPr>
          <w:sz w:val="28"/>
        </w:rPr>
        <w:t>Transfer of Water and Sewerage Functions to</w:t>
      </w:r>
      <w:r>
        <w:rPr>
          <w:spacing w:val="-9"/>
          <w:sz w:val="28"/>
        </w:rPr>
        <w:t> </w:t>
      </w:r>
      <w:r>
        <w:rPr>
          <w:sz w:val="28"/>
        </w:rPr>
        <w:t>Irish</w:t>
      </w:r>
      <w:r>
        <w:rPr>
          <w:spacing w:val="-1"/>
          <w:sz w:val="28"/>
        </w:rPr>
        <w:t> </w:t>
      </w:r>
      <w:r>
        <w:rPr>
          <w:sz w:val="28"/>
        </w:rPr>
        <w:t>Water</w:t>
        <w:tab/>
        <w:t>5</w:t>
      </w:r>
    </w:p>
    <w:p>
      <w:pPr>
        <w:tabs>
          <w:tab w:pos="7500" w:val="right" w:leader="none"/>
        </w:tabs>
        <w:spacing w:before="319"/>
        <w:ind w:left="118" w:right="0" w:firstLine="0"/>
        <w:jc w:val="left"/>
        <w:rPr>
          <w:sz w:val="28"/>
        </w:rPr>
      </w:pPr>
      <w:r>
        <w:rPr>
          <w:sz w:val="28"/>
        </w:rPr>
        <w:t>Capital</w:t>
      </w:r>
      <w:r>
        <w:rPr>
          <w:spacing w:val="-3"/>
          <w:sz w:val="28"/>
        </w:rPr>
        <w:t> </w:t>
      </w:r>
      <w:r>
        <w:rPr>
          <w:sz w:val="28"/>
        </w:rPr>
        <w:t>Account</w:t>
        <w:tab/>
        <w:t>6</w:t>
      </w:r>
    </w:p>
    <w:p>
      <w:pPr>
        <w:tabs>
          <w:tab w:pos="7500" w:val="right" w:leader="none"/>
        </w:tabs>
        <w:spacing w:before="322"/>
        <w:ind w:left="118" w:right="0" w:firstLine="0"/>
        <w:jc w:val="left"/>
        <w:rPr>
          <w:sz w:val="28"/>
        </w:rPr>
      </w:pPr>
      <w:r>
        <w:rPr>
          <w:sz w:val="28"/>
        </w:rPr>
        <w:t>Accounting for the Provision of Housing by Approved</w:t>
      </w:r>
      <w:r>
        <w:rPr>
          <w:spacing w:val="-19"/>
          <w:sz w:val="28"/>
        </w:rPr>
        <w:t> </w:t>
      </w:r>
      <w:r>
        <w:rPr>
          <w:sz w:val="28"/>
        </w:rPr>
        <w:t>Housing</w:t>
      </w:r>
      <w:r>
        <w:rPr>
          <w:spacing w:val="-3"/>
          <w:sz w:val="28"/>
        </w:rPr>
        <w:t> </w:t>
      </w:r>
      <w:r>
        <w:rPr>
          <w:sz w:val="28"/>
        </w:rPr>
        <w:t>Bodies</w:t>
        <w:tab/>
        <w:t>7</w:t>
      </w:r>
    </w:p>
    <w:p>
      <w:pPr>
        <w:spacing w:before="322"/>
        <w:ind w:left="118" w:right="0" w:firstLine="0"/>
        <w:jc w:val="left"/>
        <w:rPr>
          <w:sz w:val="28"/>
        </w:rPr>
      </w:pPr>
      <w:r>
        <w:rPr>
          <w:sz w:val="28"/>
        </w:rPr>
        <w:t>Contractual Issues Pertaining to the Management of Gas Generated</w:t>
      </w:r>
    </w:p>
    <w:p>
      <w:pPr>
        <w:tabs>
          <w:tab w:pos="7512" w:val="right" w:leader="none"/>
        </w:tabs>
        <w:spacing w:before="0"/>
        <w:ind w:left="118" w:right="0" w:firstLine="0"/>
        <w:jc w:val="left"/>
        <w:rPr>
          <w:sz w:val="28"/>
        </w:rPr>
      </w:pPr>
      <w:r>
        <w:rPr>
          <w:sz w:val="28"/>
        </w:rPr>
        <w:t>At Corranure</w:t>
      </w:r>
      <w:r>
        <w:rPr>
          <w:spacing w:val="-1"/>
          <w:sz w:val="28"/>
        </w:rPr>
        <w:t> </w:t>
      </w:r>
      <w:r>
        <w:rPr>
          <w:sz w:val="28"/>
        </w:rPr>
        <w:t>Landfill</w:t>
        <w:tab/>
        <w:t>8</w:t>
      </w:r>
    </w:p>
    <w:p>
      <w:pPr>
        <w:tabs>
          <w:tab w:pos="7500" w:val="right" w:leader="none"/>
        </w:tabs>
        <w:spacing w:before="319"/>
        <w:ind w:left="118" w:right="0" w:firstLine="0"/>
        <w:jc w:val="left"/>
        <w:rPr>
          <w:sz w:val="28"/>
        </w:rPr>
      </w:pPr>
      <w:r>
        <w:rPr>
          <w:sz w:val="28"/>
        </w:rPr>
        <w:t>Transfers</w:t>
      </w:r>
      <w:r>
        <w:rPr>
          <w:spacing w:val="-2"/>
          <w:sz w:val="28"/>
        </w:rPr>
        <w:t> </w:t>
      </w:r>
      <w:r>
        <w:rPr>
          <w:sz w:val="28"/>
        </w:rPr>
        <w:t>to</w:t>
      </w:r>
      <w:r>
        <w:rPr>
          <w:spacing w:val="-1"/>
          <w:sz w:val="28"/>
        </w:rPr>
        <w:t> </w:t>
      </w:r>
      <w:r>
        <w:rPr>
          <w:sz w:val="28"/>
        </w:rPr>
        <w:t>Reserves</w:t>
        <w:tab/>
        <w:t>9</w:t>
      </w:r>
    </w:p>
    <w:p>
      <w:pPr>
        <w:tabs>
          <w:tab w:pos="7499" w:val="right" w:leader="none"/>
        </w:tabs>
        <w:spacing w:before="321"/>
        <w:ind w:left="118" w:right="0" w:firstLine="0"/>
        <w:jc w:val="left"/>
        <w:rPr>
          <w:sz w:val="28"/>
        </w:rPr>
      </w:pPr>
      <w:r>
        <w:rPr>
          <w:sz w:val="28"/>
        </w:rPr>
        <w:t>Fixed</w:t>
      </w:r>
      <w:r>
        <w:rPr>
          <w:spacing w:val="-2"/>
          <w:sz w:val="28"/>
        </w:rPr>
        <w:t> </w:t>
      </w:r>
      <w:r>
        <w:rPr>
          <w:sz w:val="28"/>
        </w:rPr>
        <w:t>Assets</w:t>
        <w:tab/>
        <w:t>10</w:t>
      </w:r>
    </w:p>
    <w:p>
      <w:pPr>
        <w:tabs>
          <w:tab w:pos="7500" w:val="right" w:leader="none"/>
        </w:tabs>
        <w:spacing w:before="321"/>
        <w:ind w:left="118" w:right="0" w:firstLine="0"/>
        <w:jc w:val="left"/>
        <w:rPr>
          <w:sz w:val="28"/>
        </w:rPr>
      </w:pPr>
      <w:r>
        <w:rPr>
          <w:sz w:val="28"/>
        </w:rPr>
        <w:t>Procurement</w:t>
        <w:tab/>
        <w:t>11</w:t>
      </w:r>
    </w:p>
    <w:p>
      <w:pPr>
        <w:tabs>
          <w:tab w:pos="7500" w:val="right" w:leader="none"/>
        </w:tabs>
        <w:spacing w:before="321"/>
        <w:ind w:left="118" w:right="0" w:firstLine="0"/>
        <w:jc w:val="left"/>
        <w:rPr>
          <w:sz w:val="28"/>
        </w:rPr>
      </w:pPr>
      <w:r>
        <w:rPr>
          <w:sz w:val="28"/>
        </w:rPr>
        <w:t>Development Contributions</w:t>
        <w:tab/>
        <w:t>12</w:t>
      </w:r>
    </w:p>
    <w:p>
      <w:pPr>
        <w:tabs>
          <w:tab w:pos="7500" w:val="right" w:leader="none"/>
        </w:tabs>
        <w:spacing w:before="319"/>
        <w:ind w:left="118" w:right="0" w:firstLine="0"/>
        <w:jc w:val="left"/>
        <w:rPr>
          <w:sz w:val="28"/>
        </w:rPr>
      </w:pPr>
      <w:r>
        <w:rPr>
          <w:sz w:val="28"/>
        </w:rPr>
        <w:t>Part</w:t>
      </w:r>
      <w:r>
        <w:rPr>
          <w:spacing w:val="-1"/>
          <w:sz w:val="28"/>
        </w:rPr>
        <w:t> </w:t>
      </w:r>
      <w:r>
        <w:rPr>
          <w:sz w:val="28"/>
        </w:rPr>
        <w:t>V</w:t>
      </w:r>
      <w:r>
        <w:rPr>
          <w:spacing w:val="-3"/>
          <w:sz w:val="28"/>
        </w:rPr>
        <w:t> </w:t>
      </w:r>
      <w:r>
        <w:rPr>
          <w:sz w:val="28"/>
        </w:rPr>
        <w:t>Register</w:t>
        <w:tab/>
        <w:t>13</w:t>
      </w:r>
    </w:p>
    <w:p>
      <w:pPr>
        <w:tabs>
          <w:tab w:pos="7500" w:val="right" w:leader="none"/>
        </w:tabs>
        <w:spacing w:before="322"/>
        <w:ind w:left="118" w:right="0" w:firstLine="0"/>
        <w:jc w:val="left"/>
        <w:rPr>
          <w:sz w:val="28"/>
        </w:rPr>
      </w:pPr>
      <w:r>
        <w:rPr>
          <w:sz w:val="28"/>
        </w:rPr>
        <w:t>Ethics</w:t>
      </w:r>
      <w:r>
        <w:rPr>
          <w:spacing w:val="-1"/>
          <w:sz w:val="28"/>
        </w:rPr>
        <w:t> </w:t>
      </w:r>
      <w:r>
        <w:rPr>
          <w:sz w:val="28"/>
        </w:rPr>
        <w:t>Register</w:t>
        <w:tab/>
        <w:t>14</w:t>
      </w:r>
    </w:p>
    <w:p>
      <w:pPr>
        <w:tabs>
          <w:tab w:pos="7500" w:val="right" w:leader="none"/>
        </w:tabs>
        <w:spacing w:before="321"/>
        <w:ind w:left="118" w:right="0" w:firstLine="0"/>
        <w:jc w:val="left"/>
        <w:rPr>
          <w:sz w:val="28"/>
        </w:rPr>
      </w:pPr>
      <w:r>
        <w:rPr>
          <w:spacing w:val="-4"/>
          <w:sz w:val="28"/>
        </w:rPr>
        <w:t>Annual Service</w:t>
      </w:r>
      <w:r>
        <w:rPr>
          <w:spacing w:val="-11"/>
          <w:sz w:val="28"/>
        </w:rPr>
        <w:t> </w:t>
      </w:r>
      <w:r>
        <w:rPr>
          <w:spacing w:val="-4"/>
          <w:sz w:val="28"/>
        </w:rPr>
        <w:t>Delivery</w:t>
      </w:r>
      <w:r>
        <w:rPr>
          <w:spacing w:val="-9"/>
          <w:sz w:val="28"/>
        </w:rPr>
        <w:t> </w:t>
      </w:r>
      <w:r>
        <w:rPr>
          <w:spacing w:val="-3"/>
          <w:sz w:val="28"/>
        </w:rPr>
        <w:t>Plans</w:t>
        <w:tab/>
      </w:r>
      <w:r>
        <w:rPr>
          <w:sz w:val="28"/>
        </w:rPr>
        <w:t>15</w:t>
      </w:r>
    </w:p>
    <w:p>
      <w:pPr>
        <w:tabs>
          <w:tab w:pos="7500" w:val="right" w:leader="none"/>
        </w:tabs>
        <w:spacing w:before="321"/>
        <w:ind w:left="118" w:right="0" w:firstLine="0"/>
        <w:jc w:val="left"/>
        <w:rPr>
          <w:sz w:val="28"/>
        </w:rPr>
      </w:pPr>
      <w:r>
        <w:rPr>
          <w:sz w:val="28"/>
        </w:rPr>
        <w:t>Local</w:t>
      </w:r>
      <w:r>
        <w:rPr>
          <w:spacing w:val="-3"/>
          <w:sz w:val="28"/>
        </w:rPr>
        <w:t> </w:t>
      </w:r>
      <w:r>
        <w:rPr>
          <w:sz w:val="28"/>
        </w:rPr>
        <w:t>Authority Companies</w:t>
        <w:tab/>
        <w:t>16</w:t>
      </w:r>
    </w:p>
    <w:p>
      <w:pPr>
        <w:tabs>
          <w:tab w:pos="7500" w:val="right" w:leader="none"/>
        </w:tabs>
        <w:spacing w:before="319"/>
        <w:ind w:left="118" w:right="0" w:firstLine="0"/>
        <w:jc w:val="left"/>
        <w:rPr>
          <w:sz w:val="28"/>
        </w:rPr>
      </w:pPr>
      <w:r>
        <w:rPr>
          <w:sz w:val="28"/>
        </w:rPr>
        <w:t>Corporate</w:t>
      </w:r>
      <w:r>
        <w:rPr>
          <w:spacing w:val="-1"/>
          <w:sz w:val="28"/>
        </w:rPr>
        <w:t> </w:t>
      </w:r>
      <w:r>
        <w:rPr>
          <w:sz w:val="28"/>
        </w:rPr>
        <w:t>Governance</w:t>
        <w:tab/>
        <w:t>17</w:t>
      </w:r>
    </w:p>
    <w:p>
      <w:pPr>
        <w:spacing w:before="322"/>
        <w:ind w:left="118" w:right="0" w:firstLine="0"/>
        <w:jc w:val="left"/>
        <w:rPr>
          <w:sz w:val="28"/>
        </w:rPr>
      </w:pPr>
      <w:r>
        <w:rPr>
          <w:sz w:val="28"/>
        </w:rPr>
        <w:t>Investigation Regarding Payments Made by the Council to a</w:t>
      </w:r>
    </w:p>
    <w:p>
      <w:pPr>
        <w:tabs>
          <w:tab w:pos="7495" w:val="right" w:leader="none"/>
        </w:tabs>
        <w:spacing w:before="1"/>
        <w:ind w:left="118" w:right="0" w:firstLine="0"/>
        <w:jc w:val="left"/>
        <w:rPr>
          <w:sz w:val="28"/>
        </w:rPr>
      </w:pPr>
      <w:r>
        <w:rPr>
          <w:sz w:val="28"/>
        </w:rPr>
        <w:t>Contractor</w:t>
        <w:tab/>
        <w:t>18</w:t>
      </w:r>
    </w:p>
    <w:p>
      <w:pPr>
        <w:tabs>
          <w:tab w:pos="7495" w:val="right" w:leader="none"/>
        </w:tabs>
        <w:spacing w:before="322"/>
        <w:ind w:left="118" w:right="0" w:firstLine="0"/>
        <w:jc w:val="left"/>
        <w:rPr>
          <w:sz w:val="28"/>
        </w:rPr>
      </w:pPr>
      <w:r>
        <w:rPr>
          <w:sz w:val="28"/>
        </w:rPr>
        <w:t>Acknowledgement</w:t>
        <w:tab/>
        <w:t>19</w:t>
      </w:r>
    </w:p>
    <w:p>
      <w:pPr>
        <w:spacing w:after="0"/>
        <w:jc w:val="left"/>
        <w:rPr>
          <w:sz w:val="28"/>
        </w:rPr>
        <w:sectPr>
          <w:pgSz w:w="11910" w:h="16840"/>
          <w:pgMar w:top="1320" w:bottom="280" w:left="1680" w:right="1680"/>
        </w:sectPr>
      </w:pPr>
    </w:p>
    <w:p>
      <w:pPr>
        <w:pStyle w:val="Heading2"/>
        <w:spacing w:before="78"/>
        <w:ind w:left="1279" w:firstLine="0"/>
      </w:pPr>
      <w:r>
        <w:rPr>
          <w:rFonts w:ascii="Times New Roman" w:hAnsi="Times New Roman"/>
          <w:b w:val="0"/>
          <w:spacing w:val="-56"/>
          <w:w w:val="100"/>
          <w:u w:val="single"/>
        </w:rPr>
        <w:t> </w:t>
      </w:r>
      <w:r>
        <w:rPr>
          <w:spacing w:val="-4"/>
          <w:u w:val="single"/>
        </w:rPr>
        <w:t>AUDITOR’S REPORT </w:t>
      </w:r>
      <w:r>
        <w:rPr>
          <w:spacing w:val="-3"/>
          <w:u w:val="single"/>
        </w:rPr>
        <w:t>TO THE </w:t>
      </w:r>
      <w:r>
        <w:rPr>
          <w:spacing w:val="-4"/>
          <w:u w:val="single"/>
        </w:rPr>
        <w:t>MEMBERS </w:t>
      </w:r>
      <w:r>
        <w:rPr>
          <w:u w:val="single"/>
        </w:rPr>
        <w:t>OF </w:t>
      </w:r>
      <w:r>
        <w:rPr>
          <w:spacing w:val="-4"/>
          <w:u w:val="single"/>
        </w:rPr>
        <w:t>CAVAN COUNTY COUNCIL</w:t>
      </w:r>
    </w:p>
    <w:p>
      <w:pPr>
        <w:pStyle w:val="BodyText"/>
        <w:spacing w:before="10"/>
        <w:rPr>
          <w:b/>
          <w:sz w:val="21"/>
        </w:rPr>
      </w:pPr>
    </w:p>
    <w:p>
      <w:pPr>
        <w:pStyle w:val="ListParagraph"/>
        <w:numPr>
          <w:ilvl w:val="0"/>
          <w:numId w:val="1"/>
        </w:numPr>
        <w:tabs>
          <w:tab w:pos="837" w:val="left" w:leader="none"/>
          <w:tab w:pos="838" w:val="left" w:leader="none"/>
        </w:tabs>
        <w:spacing w:line="240" w:lineRule="auto" w:before="0" w:after="0"/>
        <w:ind w:left="838" w:right="0" w:hanging="720"/>
        <w:jc w:val="left"/>
        <w:rPr>
          <w:b/>
          <w:sz w:val="22"/>
        </w:rPr>
      </w:pPr>
      <w:r>
        <w:rPr>
          <w:b/>
          <w:spacing w:val="-4"/>
          <w:sz w:val="22"/>
        </w:rPr>
        <w:t>Introduction</w:t>
      </w:r>
    </w:p>
    <w:p>
      <w:pPr>
        <w:pStyle w:val="BodyText"/>
        <w:spacing w:before="1"/>
        <w:rPr>
          <w:b/>
        </w:rPr>
      </w:pPr>
    </w:p>
    <w:p>
      <w:pPr>
        <w:pStyle w:val="ListParagraph"/>
        <w:numPr>
          <w:ilvl w:val="1"/>
          <w:numId w:val="1"/>
        </w:numPr>
        <w:tabs>
          <w:tab w:pos="837" w:val="left" w:leader="none"/>
          <w:tab w:pos="838" w:val="left" w:leader="none"/>
        </w:tabs>
        <w:spacing w:line="240" w:lineRule="auto" w:before="0" w:after="0"/>
        <w:ind w:left="838" w:right="183" w:hanging="720"/>
        <w:jc w:val="left"/>
        <w:rPr>
          <w:sz w:val="22"/>
        </w:rPr>
      </w:pPr>
      <w:r>
        <w:rPr>
          <w:sz w:val="22"/>
        </w:rPr>
        <w:t>I </w:t>
      </w:r>
      <w:r>
        <w:rPr>
          <w:spacing w:val="-4"/>
          <w:sz w:val="22"/>
        </w:rPr>
        <w:t>have audited </w:t>
      </w:r>
      <w:r>
        <w:rPr>
          <w:spacing w:val="-3"/>
          <w:sz w:val="22"/>
        </w:rPr>
        <w:t>the </w:t>
      </w:r>
      <w:r>
        <w:rPr>
          <w:spacing w:val="-4"/>
          <w:sz w:val="22"/>
        </w:rPr>
        <w:t>Annual Financial Statement </w:t>
      </w:r>
      <w:r>
        <w:rPr>
          <w:spacing w:val="-3"/>
          <w:sz w:val="22"/>
        </w:rPr>
        <w:t>(AFS) of </w:t>
      </w:r>
      <w:r>
        <w:rPr>
          <w:spacing w:val="-4"/>
          <w:sz w:val="22"/>
        </w:rPr>
        <w:t>Cavan </w:t>
      </w:r>
      <w:r>
        <w:rPr>
          <w:spacing w:val="-3"/>
          <w:sz w:val="22"/>
        </w:rPr>
        <w:t>County </w:t>
      </w:r>
      <w:r>
        <w:rPr>
          <w:spacing w:val="-4"/>
          <w:sz w:val="22"/>
        </w:rPr>
        <w:t>Council </w:t>
      </w:r>
      <w:r>
        <w:rPr>
          <w:spacing w:val="-3"/>
          <w:sz w:val="22"/>
        </w:rPr>
        <w:t>for the year ended </w:t>
      </w:r>
      <w:r>
        <w:rPr>
          <w:sz w:val="22"/>
        </w:rPr>
        <w:t>31 </w:t>
      </w:r>
      <w:r>
        <w:rPr>
          <w:spacing w:val="-4"/>
          <w:sz w:val="22"/>
        </w:rPr>
        <w:t>December 2016, which comprise </w:t>
      </w:r>
      <w:r>
        <w:rPr>
          <w:spacing w:val="-3"/>
          <w:sz w:val="22"/>
        </w:rPr>
        <w:t>the </w:t>
      </w:r>
      <w:r>
        <w:rPr>
          <w:spacing w:val="-4"/>
          <w:sz w:val="22"/>
        </w:rPr>
        <w:t>Statement </w:t>
      </w:r>
      <w:r>
        <w:rPr>
          <w:sz w:val="22"/>
        </w:rPr>
        <w:t>of </w:t>
      </w:r>
      <w:r>
        <w:rPr>
          <w:spacing w:val="-4"/>
          <w:sz w:val="22"/>
        </w:rPr>
        <w:t>Accounting Policies, Statement </w:t>
      </w:r>
      <w:r>
        <w:rPr>
          <w:spacing w:val="-3"/>
          <w:sz w:val="22"/>
        </w:rPr>
        <w:t>of </w:t>
      </w:r>
      <w:r>
        <w:rPr>
          <w:spacing w:val="-4"/>
          <w:sz w:val="22"/>
        </w:rPr>
        <w:t>Comprehensive Income, Statement </w:t>
      </w:r>
      <w:r>
        <w:rPr>
          <w:sz w:val="22"/>
        </w:rPr>
        <w:t>of </w:t>
      </w:r>
      <w:r>
        <w:rPr>
          <w:spacing w:val="-4"/>
          <w:sz w:val="22"/>
        </w:rPr>
        <w:t>Financial Position, Funds </w:t>
      </w:r>
      <w:r>
        <w:rPr>
          <w:spacing w:val="-3"/>
          <w:sz w:val="22"/>
        </w:rPr>
        <w:t>Flow </w:t>
      </w:r>
      <w:r>
        <w:rPr>
          <w:spacing w:val="-4"/>
          <w:sz w:val="22"/>
        </w:rPr>
        <w:t>Statement </w:t>
      </w:r>
      <w:r>
        <w:rPr>
          <w:spacing w:val="-3"/>
          <w:sz w:val="22"/>
        </w:rPr>
        <w:t>and </w:t>
      </w:r>
      <w:r>
        <w:rPr>
          <w:spacing w:val="-4"/>
          <w:sz w:val="22"/>
        </w:rPr>
        <w:t>notes </w:t>
      </w:r>
      <w:r>
        <w:rPr>
          <w:sz w:val="22"/>
        </w:rPr>
        <w:t>to </w:t>
      </w:r>
      <w:r>
        <w:rPr>
          <w:spacing w:val="-3"/>
          <w:sz w:val="22"/>
        </w:rPr>
        <w:t>and </w:t>
      </w:r>
      <w:r>
        <w:rPr>
          <w:spacing w:val="-4"/>
          <w:sz w:val="22"/>
        </w:rPr>
        <w:t>forming </w:t>
      </w:r>
      <w:r>
        <w:rPr>
          <w:spacing w:val="-3"/>
          <w:sz w:val="22"/>
        </w:rPr>
        <w:t>part </w:t>
      </w:r>
      <w:r>
        <w:rPr>
          <w:sz w:val="22"/>
        </w:rPr>
        <w:t>of </w:t>
      </w:r>
      <w:r>
        <w:rPr>
          <w:spacing w:val="-3"/>
          <w:sz w:val="22"/>
        </w:rPr>
        <w:t>the </w:t>
      </w:r>
      <w:r>
        <w:rPr>
          <w:spacing w:val="-4"/>
          <w:sz w:val="22"/>
        </w:rPr>
        <w:t>accounts. </w:t>
      </w:r>
      <w:r>
        <w:rPr>
          <w:spacing w:val="-3"/>
          <w:sz w:val="22"/>
        </w:rPr>
        <w:t>The </w:t>
      </w:r>
      <w:r>
        <w:rPr>
          <w:spacing w:val="-4"/>
          <w:sz w:val="22"/>
        </w:rPr>
        <w:t>financial reporting framework </w:t>
      </w:r>
      <w:r>
        <w:rPr>
          <w:spacing w:val="-3"/>
          <w:sz w:val="22"/>
        </w:rPr>
        <w:t>that has </w:t>
      </w:r>
      <w:r>
        <w:rPr>
          <w:spacing w:val="-4"/>
          <w:sz w:val="22"/>
        </w:rPr>
        <w:t>been applied </w:t>
      </w:r>
      <w:r>
        <w:rPr>
          <w:spacing w:val="-3"/>
          <w:sz w:val="22"/>
        </w:rPr>
        <w:t>in its </w:t>
      </w:r>
      <w:r>
        <w:rPr>
          <w:spacing w:val="-4"/>
          <w:sz w:val="22"/>
        </w:rPr>
        <w:t>preparation </w:t>
      </w:r>
      <w:r>
        <w:rPr>
          <w:spacing w:val="-3"/>
          <w:sz w:val="22"/>
        </w:rPr>
        <w:t>is the Code </w:t>
      </w:r>
      <w:r>
        <w:rPr>
          <w:sz w:val="22"/>
        </w:rPr>
        <w:t>of </w:t>
      </w:r>
      <w:r>
        <w:rPr>
          <w:spacing w:val="-4"/>
          <w:sz w:val="22"/>
        </w:rPr>
        <w:t>Practice </w:t>
      </w:r>
      <w:r>
        <w:rPr>
          <w:spacing w:val="-3"/>
          <w:sz w:val="22"/>
        </w:rPr>
        <w:t>and </w:t>
      </w:r>
      <w:r>
        <w:rPr>
          <w:spacing w:val="-4"/>
          <w:sz w:val="22"/>
        </w:rPr>
        <w:t>Accounting Regulations </w:t>
      </w:r>
      <w:r>
        <w:rPr>
          <w:sz w:val="22"/>
        </w:rPr>
        <w:t>for </w:t>
      </w:r>
      <w:r>
        <w:rPr>
          <w:spacing w:val="-4"/>
          <w:sz w:val="22"/>
        </w:rPr>
        <w:t>Local Authorities, </w:t>
      </w:r>
      <w:r>
        <w:rPr>
          <w:spacing w:val="-3"/>
          <w:sz w:val="22"/>
        </w:rPr>
        <w:t>as </w:t>
      </w:r>
      <w:r>
        <w:rPr>
          <w:spacing w:val="-4"/>
          <w:sz w:val="22"/>
        </w:rPr>
        <w:t>prescribed </w:t>
      </w:r>
      <w:r>
        <w:rPr>
          <w:spacing w:val="-3"/>
          <w:sz w:val="22"/>
        </w:rPr>
        <w:t>by the </w:t>
      </w:r>
      <w:r>
        <w:rPr>
          <w:spacing w:val="-4"/>
          <w:sz w:val="22"/>
        </w:rPr>
        <w:t>Minister </w:t>
      </w:r>
      <w:r>
        <w:rPr>
          <w:spacing w:val="-3"/>
          <w:sz w:val="22"/>
        </w:rPr>
        <w:t>for </w:t>
      </w:r>
      <w:r>
        <w:rPr>
          <w:spacing w:val="-4"/>
          <w:sz w:val="22"/>
        </w:rPr>
        <w:t>Housing, Planning, Community </w:t>
      </w:r>
      <w:r>
        <w:rPr>
          <w:spacing w:val="-3"/>
          <w:sz w:val="22"/>
        </w:rPr>
        <w:t>and Local</w:t>
      </w:r>
      <w:r>
        <w:rPr>
          <w:spacing w:val="30"/>
          <w:sz w:val="22"/>
        </w:rPr>
        <w:t> </w:t>
      </w:r>
      <w:r>
        <w:rPr>
          <w:spacing w:val="-4"/>
          <w:sz w:val="22"/>
        </w:rPr>
        <w:t>Government.</w:t>
      </w:r>
    </w:p>
    <w:p>
      <w:pPr>
        <w:pStyle w:val="BodyText"/>
        <w:spacing w:before="1"/>
      </w:pPr>
    </w:p>
    <w:p>
      <w:pPr>
        <w:pStyle w:val="BodyText"/>
        <w:ind w:left="838" w:right="149"/>
      </w:pPr>
      <w:r>
        <w:rPr/>
        <w:t>My </w:t>
      </w:r>
      <w:r>
        <w:rPr>
          <w:spacing w:val="-4"/>
        </w:rPr>
        <w:t>main statutory responsibility, following </w:t>
      </w:r>
      <w:r>
        <w:rPr>
          <w:spacing w:val="-3"/>
        </w:rPr>
        <w:t>the </w:t>
      </w:r>
      <w:r>
        <w:rPr>
          <w:spacing w:val="-4"/>
        </w:rPr>
        <w:t>completion </w:t>
      </w:r>
      <w:r>
        <w:rPr/>
        <w:t>of </w:t>
      </w:r>
      <w:r>
        <w:rPr>
          <w:spacing w:val="-3"/>
        </w:rPr>
        <w:t>the </w:t>
      </w:r>
      <w:r>
        <w:rPr>
          <w:spacing w:val="-4"/>
        </w:rPr>
        <w:t>audit work, </w:t>
      </w:r>
      <w:r>
        <w:rPr>
          <w:spacing w:val="-3"/>
        </w:rPr>
        <w:t>is </w:t>
      </w:r>
      <w:r>
        <w:rPr/>
        <w:t>to </w:t>
      </w:r>
      <w:r>
        <w:rPr>
          <w:spacing w:val="-4"/>
        </w:rPr>
        <w:t>express </w:t>
      </w:r>
      <w:r>
        <w:rPr>
          <w:spacing w:val="-3"/>
        </w:rPr>
        <w:t>my </w:t>
      </w:r>
      <w:r>
        <w:rPr>
          <w:spacing w:val="-4"/>
        </w:rPr>
        <w:t>independent </w:t>
      </w:r>
      <w:r>
        <w:rPr>
          <w:spacing w:val="-3"/>
        </w:rPr>
        <w:t>audit </w:t>
      </w:r>
      <w:r>
        <w:rPr>
          <w:spacing w:val="-4"/>
        </w:rPr>
        <w:t>opinion </w:t>
      </w:r>
      <w:r>
        <w:rPr/>
        <w:t>on </w:t>
      </w:r>
      <w:r>
        <w:rPr>
          <w:spacing w:val="-3"/>
        </w:rPr>
        <w:t>the AFS </w:t>
      </w:r>
      <w:r>
        <w:rPr/>
        <w:t>of </w:t>
      </w:r>
      <w:r>
        <w:rPr>
          <w:spacing w:val="-3"/>
        </w:rPr>
        <w:t>the </w:t>
      </w:r>
      <w:r>
        <w:rPr>
          <w:spacing w:val="-4"/>
        </w:rPr>
        <w:t>Council, </w:t>
      </w:r>
      <w:r>
        <w:rPr/>
        <w:t>as to </w:t>
      </w:r>
      <w:r>
        <w:rPr>
          <w:spacing w:val="-4"/>
        </w:rPr>
        <w:t>whether </w:t>
      </w:r>
      <w:r>
        <w:rPr>
          <w:spacing w:val="-3"/>
        </w:rPr>
        <w:t>it </w:t>
      </w:r>
      <w:r>
        <w:rPr>
          <w:spacing w:val="-4"/>
        </w:rPr>
        <w:t>presents fairly </w:t>
      </w:r>
      <w:r>
        <w:rPr>
          <w:spacing w:val="-3"/>
        </w:rPr>
        <w:t>the </w:t>
      </w:r>
      <w:r>
        <w:rPr>
          <w:spacing w:val="-4"/>
        </w:rPr>
        <w:t>financial </w:t>
      </w:r>
      <w:r>
        <w:rPr>
          <w:spacing w:val="-3"/>
        </w:rPr>
        <w:t>position </w:t>
      </w:r>
      <w:r>
        <w:rPr/>
        <w:t>at 31 </w:t>
      </w:r>
      <w:r>
        <w:rPr>
          <w:spacing w:val="-4"/>
        </w:rPr>
        <w:t>December </w:t>
      </w:r>
      <w:r>
        <w:rPr>
          <w:spacing w:val="-3"/>
        </w:rPr>
        <w:t>2016 </w:t>
      </w:r>
      <w:r>
        <w:rPr/>
        <w:t>and </w:t>
      </w:r>
      <w:r>
        <w:rPr>
          <w:spacing w:val="-3"/>
        </w:rPr>
        <w:t>its </w:t>
      </w:r>
      <w:r>
        <w:rPr>
          <w:spacing w:val="-4"/>
        </w:rPr>
        <w:t>income </w:t>
      </w:r>
      <w:r>
        <w:rPr>
          <w:spacing w:val="-3"/>
        </w:rPr>
        <w:t>and </w:t>
      </w:r>
      <w:r>
        <w:rPr>
          <w:spacing w:val="-4"/>
        </w:rPr>
        <w:t>expenditure. </w:t>
      </w:r>
      <w:r>
        <w:rPr>
          <w:spacing w:val="-3"/>
        </w:rPr>
        <w:t>My </w:t>
      </w:r>
      <w:r>
        <w:rPr>
          <w:spacing w:val="-4"/>
        </w:rPr>
        <w:t>audit opinion, which </w:t>
      </w:r>
      <w:r>
        <w:rPr>
          <w:spacing w:val="-3"/>
        </w:rPr>
        <w:t>is </w:t>
      </w:r>
      <w:r>
        <w:rPr>
          <w:spacing w:val="-4"/>
        </w:rPr>
        <w:t>unmodified, </w:t>
      </w:r>
      <w:r>
        <w:rPr>
          <w:spacing w:val="-3"/>
        </w:rPr>
        <w:t>is stated on page </w:t>
      </w:r>
      <w:r>
        <w:rPr/>
        <w:t>5 of </w:t>
      </w:r>
      <w:r>
        <w:rPr>
          <w:spacing w:val="-3"/>
        </w:rPr>
        <w:t>the </w:t>
      </w:r>
      <w:r>
        <w:rPr>
          <w:spacing w:val="-4"/>
        </w:rPr>
        <w:t>AFS.</w:t>
      </w:r>
    </w:p>
    <w:p>
      <w:pPr>
        <w:pStyle w:val="BodyText"/>
        <w:spacing w:before="1"/>
      </w:pPr>
    </w:p>
    <w:p>
      <w:pPr>
        <w:pStyle w:val="BodyText"/>
        <w:ind w:left="838" w:right="149"/>
      </w:pPr>
      <w:r>
        <w:rPr/>
        <w:t>The </w:t>
      </w:r>
      <w:r>
        <w:rPr>
          <w:spacing w:val="-4"/>
        </w:rPr>
        <w:t>Council </w:t>
      </w:r>
      <w:r>
        <w:rPr/>
        <w:t>is </w:t>
      </w:r>
      <w:r>
        <w:rPr>
          <w:spacing w:val="-3"/>
        </w:rPr>
        <w:t>by law, </w:t>
      </w:r>
      <w:r>
        <w:rPr>
          <w:spacing w:val="-4"/>
        </w:rPr>
        <w:t>responsible </w:t>
      </w:r>
      <w:r>
        <w:rPr>
          <w:spacing w:val="-3"/>
        </w:rPr>
        <w:t>for the </w:t>
      </w:r>
      <w:r>
        <w:rPr>
          <w:spacing w:val="-4"/>
        </w:rPr>
        <w:t>maintenance </w:t>
      </w:r>
      <w:r>
        <w:rPr/>
        <w:t>of </w:t>
      </w:r>
      <w:r>
        <w:rPr>
          <w:spacing w:val="-3"/>
        </w:rPr>
        <w:t>all </w:t>
      </w:r>
      <w:r>
        <w:rPr>
          <w:spacing w:val="-4"/>
        </w:rPr>
        <w:t>accounting records including </w:t>
      </w:r>
      <w:r>
        <w:rPr>
          <w:spacing w:val="-3"/>
        </w:rPr>
        <w:t>the </w:t>
      </w:r>
      <w:r>
        <w:rPr>
          <w:spacing w:val="-4"/>
        </w:rPr>
        <w:t>preparation </w:t>
      </w:r>
      <w:r>
        <w:rPr>
          <w:spacing w:val="-3"/>
        </w:rPr>
        <w:t>of the AFS. </w:t>
      </w:r>
      <w:r>
        <w:rPr/>
        <w:t>It </w:t>
      </w:r>
      <w:r>
        <w:rPr>
          <w:spacing w:val="-3"/>
        </w:rPr>
        <w:t>is my </w:t>
      </w:r>
      <w:r>
        <w:rPr>
          <w:spacing w:val="-4"/>
        </w:rPr>
        <w:t>responsibility, based </w:t>
      </w:r>
      <w:r>
        <w:rPr/>
        <w:t>on </w:t>
      </w:r>
      <w:r>
        <w:rPr>
          <w:spacing w:val="-3"/>
        </w:rPr>
        <w:t>my audit, </w:t>
      </w:r>
      <w:r>
        <w:rPr/>
        <w:t>to </w:t>
      </w:r>
      <w:r>
        <w:rPr>
          <w:spacing w:val="-3"/>
        </w:rPr>
        <w:t>form an </w:t>
      </w:r>
      <w:r>
        <w:rPr>
          <w:spacing w:val="-4"/>
        </w:rPr>
        <w:t>independent opinion </w:t>
      </w:r>
      <w:r>
        <w:rPr/>
        <w:t>on the </w:t>
      </w:r>
      <w:r>
        <w:rPr>
          <w:spacing w:val="-4"/>
        </w:rPr>
        <w:t>statement </w:t>
      </w:r>
      <w:r>
        <w:rPr>
          <w:spacing w:val="-3"/>
        </w:rPr>
        <w:t>and to </w:t>
      </w:r>
      <w:r>
        <w:rPr>
          <w:spacing w:val="-4"/>
        </w:rPr>
        <w:t>report </w:t>
      </w:r>
      <w:r>
        <w:rPr/>
        <w:t>my </w:t>
      </w:r>
      <w:r>
        <w:rPr>
          <w:spacing w:val="-4"/>
        </w:rPr>
        <w:t>opinion. </w:t>
      </w:r>
      <w:r>
        <w:rPr/>
        <w:t>I </w:t>
      </w:r>
      <w:r>
        <w:rPr>
          <w:spacing w:val="-4"/>
        </w:rPr>
        <w:t>conducted </w:t>
      </w:r>
      <w:r>
        <w:rPr/>
        <w:t>my </w:t>
      </w:r>
      <w:r>
        <w:rPr>
          <w:spacing w:val="-3"/>
        </w:rPr>
        <w:t>audit in </w:t>
      </w:r>
      <w:r>
        <w:rPr>
          <w:spacing w:val="-4"/>
        </w:rPr>
        <w:t>accordance with </w:t>
      </w:r>
      <w:r>
        <w:rPr>
          <w:spacing w:val="-3"/>
        </w:rPr>
        <w:t>the </w:t>
      </w:r>
      <w:r>
        <w:rPr>
          <w:spacing w:val="-4"/>
        </w:rPr>
        <w:t>Code </w:t>
      </w:r>
      <w:r>
        <w:rPr/>
        <w:t>of </w:t>
      </w:r>
      <w:r>
        <w:rPr>
          <w:spacing w:val="-3"/>
        </w:rPr>
        <w:t>Audit </w:t>
      </w:r>
      <w:r>
        <w:rPr>
          <w:spacing w:val="-4"/>
        </w:rPr>
        <w:t>Practice. </w:t>
      </w:r>
      <w:r>
        <w:rPr/>
        <w:t>An </w:t>
      </w:r>
      <w:r>
        <w:rPr>
          <w:spacing w:val="-4"/>
        </w:rPr>
        <w:t>audit includes examination, </w:t>
      </w:r>
      <w:r>
        <w:rPr>
          <w:spacing w:val="-3"/>
        </w:rPr>
        <w:t>on </w:t>
      </w:r>
      <w:r>
        <w:rPr/>
        <w:t>a </w:t>
      </w:r>
      <w:r>
        <w:rPr>
          <w:spacing w:val="-3"/>
        </w:rPr>
        <w:t>test basis, </w:t>
      </w:r>
      <w:r>
        <w:rPr/>
        <w:t>of </w:t>
      </w:r>
      <w:r>
        <w:rPr>
          <w:spacing w:val="-4"/>
        </w:rPr>
        <w:t>evidence relevant </w:t>
      </w:r>
      <w:r>
        <w:rPr/>
        <w:t>to </w:t>
      </w:r>
      <w:r>
        <w:rPr>
          <w:spacing w:val="-3"/>
        </w:rPr>
        <w:t>the </w:t>
      </w:r>
      <w:r>
        <w:rPr>
          <w:spacing w:val="-4"/>
        </w:rPr>
        <w:t>amounts </w:t>
      </w:r>
      <w:r>
        <w:rPr/>
        <w:t>and </w:t>
      </w:r>
      <w:r>
        <w:rPr>
          <w:spacing w:val="-4"/>
        </w:rPr>
        <w:t>disclosures </w:t>
      </w:r>
      <w:r>
        <w:rPr>
          <w:spacing w:val="-3"/>
        </w:rPr>
        <w:t>in the </w:t>
      </w:r>
      <w:r>
        <w:rPr>
          <w:spacing w:val="-4"/>
        </w:rPr>
        <w:t>AFS. </w:t>
      </w:r>
      <w:r>
        <w:rPr>
          <w:spacing w:val="-3"/>
        </w:rPr>
        <w:t>It also </w:t>
      </w:r>
      <w:r>
        <w:rPr>
          <w:spacing w:val="-4"/>
        </w:rPr>
        <w:t>includes </w:t>
      </w:r>
      <w:r>
        <w:rPr>
          <w:spacing w:val="-3"/>
        </w:rPr>
        <w:t>an </w:t>
      </w:r>
      <w:r>
        <w:rPr>
          <w:spacing w:val="-4"/>
        </w:rPr>
        <w:t>assessment </w:t>
      </w:r>
      <w:r>
        <w:rPr>
          <w:spacing w:val="-3"/>
        </w:rPr>
        <w:t>of the </w:t>
      </w:r>
      <w:r>
        <w:rPr>
          <w:spacing w:val="-4"/>
        </w:rPr>
        <w:t>significant estimates </w:t>
      </w:r>
      <w:r>
        <w:rPr>
          <w:spacing w:val="-3"/>
        </w:rPr>
        <w:t>and </w:t>
      </w:r>
      <w:r>
        <w:rPr>
          <w:spacing w:val="-4"/>
        </w:rPr>
        <w:t>judgements </w:t>
      </w:r>
      <w:r>
        <w:rPr>
          <w:spacing w:val="-3"/>
        </w:rPr>
        <w:t>made by the </w:t>
      </w:r>
      <w:r>
        <w:rPr>
          <w:spacing w:val="-4"/>
        </w:rPr>
        <w:t>Council’s management </w:t>
      </w:r>
      <w:r>
        <w:rPr/>
        <w:t>in </w:t>
      </w:r>
      <w:r>
        <w:rPr>
          <w:spacing w:val="-3"/>
        </w:rPr>
        <w:t>the </w:t>
      </w:r>
      <w:r>
        <w:rPr>
          <w:spacing w:val="-4"/>
        </w:rPr>
        <w:t>preparation </w:t>
      </w:r>
      <w:r>
        <w:rPr/>
        <w:t>of </w:t>
      </w:r>
      <w:r>
        <w:rPr>
          <w:spacing w:val="-3"/>
        </w:rPr>
        <w:t>the </w:t>
      </w:r>
      <w:r>
        <w:rPr>
          <w:spacing w:val="-4"/>
        </w:rPr>
        <w:t>AFS, </w:t>
      </w:r>
      <w:r>
        <w:rPr>
          <w:spacing w:val="-3"/>
        </w:rPr>
        <w:t>and </w:t>
      </w:r>
      <w:r>
        <w:rPr/>
        <w:t>of </w:t>
      </w:r>
      <w:r>
        <w:rPr>
          <w:spacing w:val="-4"/>
        </w:rPr>
        <w:t>whether </w:t>
      </w:r>
      <w:r>
        <w:rPr>
          <w:spacing w:val="-3"/>
        </w:rPr>
        <w:t>the </w:t>
      </w:r>
      <w:r>
        <w:rPr>
          <w:spacing w:val="-4"/>
        </w:rPr>
        <w:t>accounting policies </w:t>
      </w:r>
      <w:r>
        <w:rPr>
          <w:spacing w:val="-3"/>
        </w:rPr>
        <w:t>are </w:t>
      </w:r>
      <w:r>
        <w:rPr>
          <w:spacing w:val="-4"/>
        </w:rPr>
        <w:t>appropriate </w:t>
      </w:r>
      <w:r>
        <w:rPr/>
        <w:t>to </w:t>
      </w:r>
      <w:r>
        <w:rPr>
          <w:spacing w:val="-3"/>
        </w:rPr>
        <w:t>the </w:t>
      </w:r>
      <w:r>
        <w:rPr>
          <w:spacing w:val="-4"/>
        </w:rPr>
        <w:t>Council's circumstances, consistently applied </w:t>
      </w:r>
      <w:r>
        <w:rPr>
          <w:spacing w:val="-3"/>
        </w:rPr>
        <w:t>and </w:t>
      </w:r>
      <w:r>
        <w:rPr>
          <w:spacing w:val="-4"/>
        </w:rPr>
        <w:t>adequately disclosed.</w:t>
      </w:r>
    </w:p>
    <w:p>
      <w:pPr>
        <w:pStyle w:val="BodyText"/>
        <w:spacing w:before="10"/>
        <w:rPr>
          <w:sz w:val="21"/>
        </w:rPr>
      </w:pPr>
    </w:p>
    <w:p>
      <w:pPr>
        <w:pStyle w:val="BodyText"/>
        <w:ind w:left="838" w:right="490"/>
      </w:pPr>
      <w:r>
        <w:rPr/>
        <w:t>I </w:t>
      </w:r>
      <w:r>
        <w:rPr>
          <w:spacing w:val="-4"/>
        </w:rPr>
        <w:t>planned </w:t>
      </w:r>
      <w:r>
        <w:rPr>
          <w:spacing w:val="-3"/>
        </w:rPr>
        <w:t>and </w:t>
      </w:r>
      <w:r>
        <w:rPr>
          <w:spacing w:val="-4"/>
        </w:rPr>
        <w:t>performed </w:t>
      </w:r>
      <w:r>
        <w:rPr/>
        <w:t>my </w:t>
      </w:r>
      <w:r>
        <w:rPr>
          <w:spacing w:val="-3"/>
        </w:rPr>
        <w:t>audit so </w:t>
      </w:r>
      <w:r>
        <w:rPr/>
        <w:t>as to </w:t>
      </w:r>
      <w:r>
        <w:rPr>
          <w:spacing w:val="-3"/>
        </w:rPr>
        <w:t>obtain all the </w:t>
      </w:r>
      <w:r>
        <w:rPr>
          <w:spacing w:val="-4"/>
        </w:rPr>
        <w:t>information </w:t>
      </w:r>
      <w:r>
        <w:rPr>
          <w:spacing w:val="-3"/>
        </w:rPr>
        <w:t>and </w:t>
      </w:r>
      <w:r>
        <w:rPr>
          <w:spacing w:val="-4"/>
        </w:rPr>
        <w:t>explanations, which </w:t>
      </w:r>
      <w:r>
        <w:rPr/>
        <w:t>I </w:t>
      </w:r>
      <w:r>
        <w:rPr>
          <w:spacing w:val="-4"/>
        </w:rPr>
        <w:t>considered necessary </w:t>
      </w:r>
      <w:r>
        <w:rPr>
          <w:spacing w:val="-3"/>
        </w:rPr>
        <w:t>to </w:t>
      </w:r>
      <w:r>
        <w:rPr>
          <w:spacing w:val="-4"/>
        </w:rPr>
        <w:t>provide sufficient evidence </w:t>
      </w:r>
      <w:r>
        <w:rPr/>
        <w:t>to </w:t>
      </w:r>
      <w:r>
        <w:rPr>
          <w:spacing w:val="-4"/>
        </w:rPr>
        <w:t>give reasonable assurance </w:t>
      </w:r>
      <w:r>
        <w:rPr>
          <w:spacing w:val="-3"/>
        </w:rPr>
        <w:t>that the </w:t>
      </w:r>
      <w:r>
        <w:rPr>
          <w:spacing w:val="-4"/>
        </w:rPr>
        <w:t>financial statement </w:t>
      </w:r>
      <w:r>
        <w:rPr/>
        <w:t>is </w:t>
      </w:r>
      <w:r>
        <w:rPr>
          <w:spacing w:val="-3"/>
        </w:rPr>
        <w:t>free from </w:t>
      </w:r>
      <w:r>
        <w:rPr>
          <w:spacing w:val="-4"/>
        </w:rPr>
        <w:t>material misstatement, whether </w:t>
      </w:r>
      <w:r>
        <w:rPr>
          <w:spacing w:val="-3"/>
        </w:rPr>
        <w:t>caused by fraud </w:t>
      </w:r>
      <w:r>
        <w:rPr/>
        <w:t>or </w:t>
      </w:r>
      <w:r>
        <w:rPr>
          <w:spacing w:val="-3"/>
        </w:rPr>
        <w:t>error.</w:t>
      </w:r>
    </w:p>
    <w:p>
      <w:pPr>
        <w:pStyle w:val="BodyText"/>
        <w:spacing w:before="10"/>
        <w:rPr>
          <w:sz w:val="21"/>
        </w:rPr>
      </w:pPr>
    </w:p>
    <w:p>
      <w:pPr>
        <w:pStyle w:val="ListParagraph"/>
        <w:numPr>
          <w:ilvl w:val="1"/>
          <w:numId w:val="1"/>
        </w:numPr>
        <w:tabs>
          <w:tab w:pos="825" w:val="left" w:leader="none"/>
          <w:tab w:pos="826" w:val="left" w:leader="none"/>
        </w:tabs>
        <w:spacing w:line="240" w:lineRule="auto" w:before="0" w:after="0"/>
        <w:ind w:left="826" w:right="318" w:hanging="708"/>
        <w:jc w:val="left"/>
        <w:rPr>
          <w:sz w:val="22"/>
        </w:rPr>
      </w:pPr>
      <w:r>
        <w:rPr>
          <w:spacing w:val="-3"/>
          <w:sz w:val="22"/>
        </w:rPr>
        <w:t>This report is </w:t>
      </w:r>
      <w:r>
        <w:rPr>
          <w:spacing w:val="-4"/>
          <w:sz w:val="22"/>
        </w:rPr>
        <w:t>prepared </w:t>
      </w:r>
      <w:r>
        <w:rPr>
          <w:spacing w:val="-3"/>
          <w:sz w:val="22"/>
        </w:rPr>
        <w:t>in </w:t>
      </w:r>
      <w:r>
        <w:rPr>
          <w:spacing w:val="-4"/>
          <w:sz w:val="22"/>
        </w:rPr>
        <w:t>accordance </w:t>
      </w:r>
      <w:r>
        <w:rPr>
          <w:spacing w:val="-3"/>
          <w:sz w:val="22"/>
        </w:rPr>
        <w:t>with Section </w:t>
      </w:r>
      <w:r>
        <w:rPr>
          <w:spacing w:val="-4"/>
          <w:sz w:val="22"/>
        </w:rPr>
        <w:t>120(1) </w:t>
      </w:r>
      <w:r>
        <w:rPr>
          <w:sz w:val="22"/>
        </w:rPr>
        <w:t>(c) </w:t>
      </w:r>
      <w:r>
        <w:rPr>
          <w:spacing w:val="-3"/>
          <w:sz w:val="22"/>
        </w:rPr>
        <w:t>of the </w:t>
      </w:r>
      <w:r>
        <w:rPr>
          <w:spacing w:val="-4"/>
          <w:sz w:val="22"/>
        </w:rPr>
        <w:t>Local Government </w:t>
      </w:r>
      <w:r>
        <w:rPr>
          <w:spacing w:val="-3"/>
          <w:sz w:val="22"/>
        </w:rPr>
        <w:t>Act, </w:t>
      </w:r>
      <w:r>
        <w:rPr>
          <w:spacing w:val="-4"/>
          <w:sz w:val="22"/>
        </w:rPr>
        <w:t>2001 </w:t>
      </w:r>
      <w:r>
        <w:rPr>
          <w:sz w:val="22"/>
        </w:rPr>
        <w:t>and </w:t>
      </w:r>
      <w:r>
        <w:rPr>
          <w:spacing w:val="-4"/>
          <w:sz w:val="22"/>
        </w:rPr>
        <w:t>should </w:t>
      </w:r>
      <w:r>
        <w:rPr>
          <w:spacing w:val="-3"/>
          <w:sz w:val="22"/>
        </w:rPr>
        <w:t>be </w:t>
      </w:r>
      <w:r>
        <w:rPr>
          <w:spacing w:val="-4"/>
          <w:sz w:val="22"/>
        </w:rPr>
        <w:t>read </w:t>
      </w:r>
      <w:r>
        <w:rPr>
          <w:sz w:val="22"/>
        </w:rPr>
        <w:t>in </w:t>
      </w:r>
      <w:r>
        <w:rPr>
          <w:spacing w:val="-4"/>
          <w:sz w:val="22"/>
        </w:rPr>
        <w:t>conjunction with </w:t>
      </w:r>
      <w:r>
        <w:rPr>
          <w:spacing w:val="-3"/>
          <w:sz w:val="22"/>
        </w:rPr>
        <w:t>the </w:t>
      </w:r>
      <w:r>
        <w:rPr>
          <w:spacing w:val="-4"/>
          <w:sz w:val="22"/>
        </w:rPr>
        <w:t>audited</w:t>
      </w:r>
      <w:r>
        <w:rPr>
          <w:spacing w:val="-2"/>
          <w:sz w:val="22"/>
        </w:rPr>
        <w:t> </w:t>
      </w:r>
      <w:r>
        <w:rPr>
          <w:spacing w:val="-4"/>
          <w:sz w:val="22"/>
        </w:rPr>
        <w:t>AFS.</w:t>
      </w:r>
    </w:p>
    <w:p>
      <w:pPr>
        <w:pStyle w:val="BodyText"/>
        <w:spacing w:before="1"/>
      </w:pPr>
    </w:p>
    <w:p>
      <w:pPr>
        <w:pStyle w:val="Heading2"/>
        <w:numPr>
          <w:ilvl w:val="1"/>
          <w:numId w:val="1"/>
        </w:numPr>
        <w:tabs>
          <w:tab w:pos="837" w:val="left" w:leader="none"/>
          <w:tab w:pos="838" w:val="left" w:leader="none"/>
        </w:tabs>
        <w:spacing w:line="240" w:lineRule="auto" w:before="0" w:after="0"/>
        <w:ind w:left="838" w:right="0" w:hanging="720"/>
        <w:jc w:val="left"/>
      </w:pPr>
      <w:r>
        <w:rPr>
          <w:spacing w:val="-3"/>
        </w:rPr>
        <w:t>Late </w:t>
      </w:r>
      <w:r>
        <w:rPr>
          <w:spacing w:val="-4"/>
        </w:rPr>
        <w:t>Receipt </w:t>
      </w:r>
      <w:r>
        <w:rPr/>
        <w:t>of </w:t>
      </w:r>
      <w:r>
        <w:rPr>
          <w:spacing w:val="-3"/>
        </w:rPr>
        <w:t>the Draft </w:t>
      </w:r>
      <w:r>
        <w:rPr>
          <w:spacing w:val="-4"/>
        </w:rPr>
        <w:t>Annual Financial</w:t>
      </w:r>
      <w:r>
        <w:rPr>
          <w:spacing w:val="2"/>
        </w:rPr>
        <w:t> </w:t>
      </w:r>
      <w:r>
        <w:rPr>
          <w:spacing w:val="-4"/>
        </w:rPr>
        <w:t>Statement</w:t>
      </w:r>
    </w:p>
    <w:p>
      <w:pPr>
        <w:pStyle w:val="BodyText"/>
        <w:spacing w:before="10"/>
        <w:rPr>
          <w:b/>
          <w:sz w:val="21"/>
        </w:rPr>
      </w:pPr>
    </w:p>
    <w:p>
      <w:pPr>
        <w:pStyle w:val="BodyText"/>
        <w:ind w:left="838" w:right="74"/>
      </w:pPr>
      <w:r>
        <w:rPr/>
        <w:t>The </w:t>
      </w:r>
      <w:r>
        <w:rPr>
          <w:spacing w:val="-3"/>
        </w:rPr>
        <w:t>draft AFS was </w:t>
      </w:r>
      <w:r>
        <w:rPr>
          <w:spacing w:val="-4"/>
        </w:rPr>
        <w:t>completed </w:t>
      </w:r>
      <w:r>
        <w:rPr>
          <w:spacing w:val="-3"/>
        </w:rPr>
        <w:t>on </w:t>
      </w:r>
      <w:r>
        <w:rPr/>
        <w:t>5 </w:t>
      </w:r>
      <w:r>
        <w:rPr>
          <w:spacing w:val="-3"/>
        </w:rPr>
        <w:t>May 2017 and </w:t>
      </w:r>
      <w:r>
        <w:rPr>
          <w:spacing w:val="-4"/>
        </w:rPr>
        <w:t>approved </w:t>
      </w:r>
      <w:r>
        <w:rPr/>
        <w:t>by the </w:t>
      </w:r>
      <w:r>
        <w:rPr>
          <w:spacing w:val="-4"/>
        </w:rPr>
        <w:t>Council</w:t>
      </w:r>
      <w:r>
        <w:rPr>
          <w:spacing w:val="-3"/>
        </w:rPr>
        <w:t> on </w:t>
      </w:r>
      <w:r>
        <w:rPr/>
        <w:t>9 </w:t>
      </w:r>
      <w:r>
        <w:rPr>
          <w:spacing w:val="-3"/>
        </w:rPr>
        <w:t>May 2017. </w:t>
      </w:r>
      <w:r>
        <w:rPr>
          <w:spacing w:val="-4"/>
        </w:rPr>
        <w:t>This </w:t>
      </w:r>
      <w:r>
        <w:rPr/>
        <w:t>is </w:t>
      </w:r>
      <w:r>
        <w:rPr>
          <w:spacing w:val="-3"/>
        </w:rPr>
        <w:t>despite the fact that </w:t>
      </w:r>
      <w:r>
        <w:rPr/>
        <w:t>the </w:t>
      </w:r>
      <w:r>
        <w:rPr>
          <w:spacing w:val="-4"/>
        </w:rPr>
        <w:t>Accounting </w:t>
      </w:r>
      <w:r>
        <w:rPr>
          <w:spacing w:val="-3"/>
        </w:rPr>
        <w:t>Code of </w:t>
      </w:r>
      <w:r>
        <w:rPr>
          <w:spacing w:val="-4"/>
        </w:rPr>
        <w:t>Practice issued </w:t>
      </w:r>
      <w:r>
        <w:rPr/>
        <w:t>by the </w:t>
      </w:r>
      <w:r>
        <w:rPr>
          <w:spacing w:val="-4"/>
        </w:rPr>
        <w:t>Department </w:t>
      </w:r>
      <w:r>
        <w:rPr/>
        <w:t>of </w:t>
      </w:r>
      <w:r>
        <w:rPr>
          <w:spacing w:val="-4"/>
        </w:rPr>
        <w:t>Housing, Planning, Community </w:t>
      </w:r>
      <w:r>
        <w:rPr>
          <w:spacing w:val="-3"/>
        </w:rPr>
        <w:t>and Local </w:t>
      </w:r>
      <w:r>
        <w:rPr>
          <w:spacing w:val="-4"/>
        </w:rPr>
        <w:t>Government </w:t>
      </w:r>
      <w:r>
        <w:rPr>
          <w:spacing w:val="-3"/>
        </w:rPr>
        <w:t>(the </w:t>
      </w:r>
      <w:r>
        <w:rPr>
          <w:spacing w:val="-4"/>
        </w:rPr>
        <w:t>Department) </w:t>
      </w:r>
      <w:r>
        <w:rPr>
          <w:spacing w:val="-3"/>
        </w:rPr>
        <w:t>states that the </w:t>
      </w:r>
      <w:r>
        <w:rPr>
          <w:spacing w:val="-4"/>
        </w:rPr>
        <w:t>Council’s </w:t>
      </w:r>
      <w:r>
        <w:rPr>
          <w:spacing w:val="-3"/>
        </w:rPr>
        <w:t>draft AFS should </w:t>
      </w:r>
      <w:r>
        <w:rPr/>
        <w:t>be </w:t>
      </w:r>
      <w:r>
        <w:rPr>
          <w:spacing w:val="-4"/>
        </w:rPr>
        <w:t>prepared </w:t>
      </w:r>
      <w:r>
        <w:rPr>
          <w:spacing w:val="-3"/>
        </w:rPr>
        <w:t>by </w:t>
      </w:r>
      <w:r>
        <w:rPr/>
        <w:t>1 of </w:t>
      </w:r>
      <w:r>
        <w:rPr>
          <w:spacing w:val="-4"/>
        </w:rPr>
        <w:t>April </w:t>
      </w:r>
      <w:r>
        <w:rPr>
          <w:spacing w:val="-3"/>
        </w:rPr>
        <w:t>of the </w:t>
      </w:r>
      <w:r>
        <w:rPr>
          <w:spacing w:val="-4"/>
        </w:rPr>
        <w:t>following year. This impacted adversely </w:t>
      </w:r>
      <w:r>
        <w:rPr/>
        <w:t>on </w:t>
      </w:r>
      <w:r>
        <w:rPr>
          <w:spacing w:val="-3"/>
        </w:rPr>
        <w:t>audit </w:t>
      </w:r>
      <w:r>
        <w:rPr>
          <w:spacing w:val="-4"/>
        </w:rPr>
        <w:t>deadlines.</w:t>
      </w:r>
    </w:p>
    <w:p>
      <w:pPr>
        <w:pStyle w:val="BodyText"/>
        <w:spacing w:before="10"/>
        <w:rPr>
          <w:sz w:val="21"/>
        </w:rPr>
      </w:pPr>
    </w:p>
    <w:p>
      <w:pPr>
        <w:pStyle w:val="Heading2"/>
        <w:ind w:firstLine="0"/>
      </w:pPr>
      <w:r>
        <w:rPr/>
        <w:t>Chief Executive’s Response</w:t>
      </w:r>
    </w:p>
    <w:p>
      <w:pPr>
        <w:pStyle w:val="BodyText"/>
        <w:spacing w:before="1"/>
        <w:rPr>
          <w:b/>
        </w:rPr>
      </w:pPr>
    </w:p>
    <w:p>
      <w:pPr>
        <w:pStyle w:val="BodyText"/>
        <w:ind w:left="838" w:right="149" w:hanging="12"/>
      </w:pPr>
      <w:r>
        <w:rPr/>
        <w:t>The </w:t>
      </w:r>
      <w:r>
        <w:rPr>
          <w:spacing w:val="-4"/>
        </w:rPr>
        <w:t>main reason </w:t>
      </w:r>
      <w:r>
        <w:rPr>
          <w:spacing w:val="-3"/>
        </w:rPr>
        <w:t>for the delay </w:t>
      </w:r>
      <w:r>
        <w:rPr/>
        <w:t>in </w:t>
      </w:r>
      <w:r>
        <w:rPr>
          <w:spacing w:val="-4"/>
        </w:rPr>
        <w:t>completion </w:t>
      </w:r>
      <w:r>
        <w:rPr/>
        <w:t>of </w:t>
      </w:r>
      <w:r>
        <w:rPr>
          <w:spacing w:val="-3"/>
        </w:rPr>
        <w:t>the draft AFS was the </w:t>
      </w:r>
      <w:r>
        <w:rPr>
          <w:spacing w:val="-4"/>
        </w:rPr>
        <w:t>additional workload </w:t>
      </w:r>
      <w:r>
        <w:rPr>
          <w:spacing w:val="-3"/>
        </w:rPr>
        <w:t>due to </w:t>
      </w:r>
      <w:r>
        <w:rPr/>
        <w:t>the </w:t>
      </w:r>
      <w:r>
        <w:rPr>
          <w:spacing w:val="-4"/>
        </w:rPr>
        <w:t>implementation </w:t>
      </w:r>
      <w:r>
        <w:rPr/>
        <w:t>of </w:t>
      </w:r>
      <w:r>
        <w:rPr>
          <w:spacing w:val="-3"/>
        </w:rPr>
        <w:t>the </w:t>
      </w:r>
      <w:r>
        <w:rPr>
          <w:spacing w:val="-4"/>
        </w:rPr>
        <w:t>accounting </w:t>
      </w:r>
      <w:r>
        <w:rPr>
          <w:spacing w:val="-3"/>
        </w:rPr>
        <w:t>system </w:t>
      </w:r>
      <w:r>
        <w:rPr>
          <w:spacing w:val="-4"/>
        </w:rPr>
        <w:t>upgrade </w:t>
      </w:r>
      <w:r>
        <w:rPr>
          <w:spacing w:val="-3"/>
        </w:rPr>
        <w:t>and the </w:t>
      </w:r>
      <w:r>
        <w:rPr>
          <w:spacing w:val="-4"/>
        </w:rPr>
        <w:t>number </w:t>
      </w:r>
      <w:r>
        <w:rPr>
          <w:spacing w:val="-3"/>
        </w:rPr>
        <w:t>of staff </w:t>
      </w:r>
      <w:r>
        <w:rPr>
          <w:spacing w:val="-4"/>
        </w:rPr>
        <w:t>changes throughout </w:t>
      </w:r>
      <w:r>
        <w:rPr/>
        <w:t>the </w:t>
      </w:r>
      <w:r>
        <w:rPr>
          <w:spacing w:val="-4"/>
        </w:rPr>
        <w:t>organisation </w:t>
      </w:r>
      <w:r>
        <w:rPr/>
        <w:t>at </w:t>
      </w:r>
      <w:r>
        <w:rPr>
          <w:spacing w:val="-3"/>
        </w:rPr>
        <w:t>the end </w:t>
      </w:r>
      <w:r>
        <w:rPr/>
        <w:t>of </w:t>
      </w:r>
      <w:r>
        <w:rPr>
          <w:spacing w:val="-3"/>
        </w:rPr>
        <w:t>2016 and </w:t>
      </w:r>
      <w:r>
        <w:rPr/>
        <w:t>in </w:t>
      </w:r>
      <w:r>
        <w:rPr>
          <w:spacing w:val="-3"/>
        </w:rPr>
        <w:t>the first </w:t>
      </w:r>
      <w:r>
        <w:rPr>
          <w:spacing w:val="-4"/>
        </w:rPr>
        <w:t>quarter </w:t>
      </w:r>
      <w:r>
        <w:rPr/>
        <w:t>of </w:t>
      </w:r>
      <w:r>
        <w:rPr>
          <w:spacing w:val="-4"/>
        </w:rPr>
        <w:t>2017.</w:t>
      </w:r>
    </w:p>
    <w:p>
      <w:pPr>
        <w:pStyle w:val="BodyText"/>
        <w:spacing w:before="1"/>
      </w:pPr>
    </w:p>
    <w:p>
      <w:pPr>
        <w:pStyle w:val="Heading2"/>
        <w:numPr>
          <w:ilvl w:val="0"/>
          <w:numId w:val="1"/>
        </w:numPr>
        <w:tabs>
          <w:tab w:pos="837" w:val="left" w:leader="none"/>
          <w:tab w:pos="838" w:val="left" w:leader="none"/>
        </w:tabs>
        <w:spacing w:line="240" w:lineRule="auto" w:before="0" w:after="0"/>
        <w:ind w:left="838" w:right="0" w:hanging="720"/>
        <w:jc w:val="left"/>
      </w:pPr>
      <w:r>
        <w:rPr>
          <w:spacing w:val="-4"/>
        </w:rPr>
        <w:t>Financial</w:t>
      </w:r>
      <w:r>
        <w:rPr>
          <w:spacing w:val="11"/>
        </w:rPr>
        <w:t> </w:t>
      </w:r>
      <w:r>
        <w:rPr>
          <w:spacing w:val="-4"/>
        </w:rPr>
        <w:t>Standing</w:t>
      </w:r>
    </w:p>
    <w:p>
      <w:pPr>
        <w:pStyle w:val="BodyText"/>
        <w:spacing w:before="10"/>
        <w:rPr>
          <w:b/>
          <w:sz w:val="21"/>
        </w:rPr>
      </w:pPr>
    </w:p>
    <w:p>
      <w:pPr>
        <w:pStyle w:val="BodyText"/>
        <w:ind w:left="826" w:right="135"/>
      </w:pPr>
      <w:r>
        <w:rPr/>
        <w:t>The Council recorded a surplus of €110 for the year after transfers to reserves of €4.488m. This surplus does not take account of corrections that I have directed be processed in the 2017 accounts of Cavan County Council (see paragraph 4) in accordance with Section 16(b) of the Local Government (Financial and Audit Procedures) Regulations 2014. The effect of these corrections would be to reduce this surplus to a deficit of</w:t>
      </w:r>
      <w:r>
        <w:rPr>
          <w:spacing w:val="-32"/>
        </w:rPr>
        <w:t> </w:t>
      </w:r>
      <w:r>
        <w:rPr/>
        <w:t>€34k.</w:t>
      </w:r>
    </w:p>
    <w:p>
      <w:pPr>
        <w:spacing w:after="0"/>
        <w:sectPr>
          <w:footerReference w:type="default" r:id="rId7"/>
          <w:pgSz w:w="11910" w:h="16840"/>
          <w:pgMar w:footer="447" w:header="0" w:top="1320" w:bottom="640" w:left="1680" w:right="1680"/>
          <w:pgNumType w:start="1"/>
        </w:sectPr>
      </w:pPr>
    </w:p>
    <w:p>
      <w:pPr>
        <w:pStyle w:val="BodyText"/>
        <w:spacing w:before="78"/>
        <w:ind w:left="826" w:right="172"/>
      </w:pPr>
      <w:r>
        <w:rPr/>
        <w:t>There was a surplus of €1.743m in the general revenue balance at the end of 2016. Both transfers to reserves and over expenditure were approved by the Council at its meeting in May 2017. Details of over/under expenditure are contained in note 16 to the AFS.</w:t>
      </w:r>
    </w:p>
    <w:p>
      <w:pPr>
        <w:pStyle w:val="BodyText"/>
      </w:pPr>
    </w:p>
    <w:p>
      <w:pPr>
        <w:pStyle w:val="BodyText"/>
        <w:spacing w:before="1"/>
        <w:ind w:left="826"/>
      </w:pPr>
      <w:r>
        <w:rPr/>
        <w:t>Significant movements in the finances of the Council during the year included:</w:t>
      </w:r>
    </w:p>
    <w:p>
      <w:pPr>
        <w:pStyle w:val="BodyText"/>
        <w:spacing w:before="2"/>
        <w:rPr>
          <w:sz w:val="23"/>
        </w:rPr>
      </w:pPr>
    </w:p>
    <w:p>
      <w:pPr>
        <w:pStyle w:val="ListParagraph"/>
        <w:numPr>
          <w:ilvl w:val="0"/>
          <w:numId w:val="2"/>
        </w:numPr>
        <w:tabs>
          <w:tab w:pos="1545" w:val="left" w:leader="none"/>
          <w:tab w:pos="1546" w:val="left" w:leader="none"/>
        </w:tabs>
        <w:spacing w:line="269" w:lineRule="exact" w:before="0" w:after="0"/>
        <w:ind w:left="1546" w:right="0" w:hanging="360"/>
        <w:jc w:val="left"/>
        <w:rPr>
          <w:sz w:val="22"/>
        </w:rPr>
      </w:pPr>
      <w:r>
        <w:rPr>
          <w:sz w:val="22"/>
        </w:rPr>
        <w:t>Increase in fixed assets of</w:t>
      </w:r>
      <w:r>
        <w:rPr>
          <w:spacing w:val="-13"/>
          <w:sz w:val="22"/>
        </w:rPr>
        <w:t> </w:t>
      </w:r>
      <w:r>
        <w:rPr>
          <w:sz w:val="22"/>
        </w:rPr>
        <w:t>€4.0m</w:t>
      </w:r>
    </w:p>
    <w:p>
      <w:pPr>
        <w:pStyle w:val="ListParagraph"/>
        <w:numPr>
          <w:ilvl w:val="0"/>
          <w:numId w:val="2"/>
        </w:numPr>
        <w:tabs>
          <w:tab w:pos="1545" w:val="left" w:leader="none"/>
          <w:tab w:pos="1546" w:val="left" w:leader="none"/>
        </w:tabs>
        <w:spacing w:line="268" w:lineRule="exact" w:before="0" w:after="0"/>
        <w:ind w:left="1546" w:right="0" w:hanging="360"/>
        <w:jc w:val="left"/>
        <w:rPr>
          <w:sz w:val="22"/>
        </w:rPr>
      </w:pPr>
      <w:r>
        <w:rPr>
          <w:sz w:val="22"/>
        </w:rPr>
        <w:t>Decrease in long term debtors / long term creditors of</w:t>
      </w:r>
      <w:r>
        <w:rPr>
          <w:spacing w:val="-26"/>
          <w:sz w:val="22"/>
        </w:rPr>
        <w:t> </w:t>
      </w:r>
      <w:r>
        <w:rPr>
          <w:sz w:val="22"/>
        </w:rPr>
        <w:t>€4.6m</w:t>
      </w:r>
    </w:p>
    <w:p>
      <w:pPr>
        <w:pStyle w:val="ListParagraph"/>
        <w:numPr>
          <w:ilvl w:val="0"/>
          <w:numId w:val="2"/>
        </w:numPr>
        <w:tabs>
          <w:tab w:pos="1545" w:val="left" w:leader="none"/>
          <w:tab w:pos="1546" w:val="left" w:leader="none"/>
        </w:tabs>
        <w:spacing w:line="268" w:lineRule="exact" w:before="0" w:after="0"/>
        <w:ind w:left="1546" w:right="0" w:hanging="360"/>
        <w:jc w:val="left"/>
        <w:rPr>
          <w:sz w:val="22"/>
        </w:rPr>
      </w:pPr>
      <w:r>
        <w:rPr>
          <w:sz w:val="22"/>
        </w:rPr>
        <w:t>Increase in net current assets of</w:t>
      </w:r>
      <w:r>
        <w:rPr>
          <w:spacing w:val="-16"/>
          <w:sz w:val="22"/>
        </w:rPr>
        <w:t> </w:t>
      </w:r>
      <w:r>
        <w:rPr>
          <w:sz w:val="22"/>
        </w:rPr>
        <w:t>€1.12m</w:t>
      </w:r>
    </w:p>
    <w:p>
      <w:pPr>
        <w:pStyle w:val="ListParagraph"/>
        <w:numPr>
          <w:ilvl w:val="0"/>
          <w:numId w:val="2"/>
        </w:numPr>
        <w:tabs>
          <w:tab w:pos="1545" w:val="left" w:leader="none"/>
          <w:tab w:pos="1546" w:val="left" w:leader="none"/>
        </w:tabs>
        <w:spacing w:line="269" w:lineRule="exact" w:before="0" w:after="0"/>
        <w:ind w:left="1546" w:right="0" w:hanging="360"/>
        <w:jc w:val="left"/>
        <w:rPr>
          <w:sz w:val="22"/>
        </w:rPr>
      </w:pPr>
      <w:r>
        <w:rPr>
          <w:sz w:val="22"/>
        </w:rPr>
        <w:t>Elimination of the specific revenue reserve of</w:t>
      </w:r>
      <w:r>
        <w:rPr>
          <w:spacing w:val="-25"/>
          <w:sz w:val="22"/>
        </w:rPr>
        <w:t> </w:t>
      </w:r>
      <w:r>
        <w:rPr>
          <w:sz w:val="22"/>
        </w:rPr>
        <w:t>€1.1m.</w:t>
      </w:r>
    </w:p>
    <w:p>
      <w:pPr>
        <w:pStyle w:val="BodyText"/>
        <w:spacing w:before="5"/>
        <w:rPr>
          <w:sz w:val="20"/>
        </w:rPr>
      </w:pPr>
    </w:p>
    <w:p>
      <w:pPr>
        <w:pStyle w:val="BodyText"/>
        <w:ind w:left="838" w:right="209"/>
      </w:pPr>
      <w:r>
        <w:rPr/>
        <w:t>The increase in fixed assets included additions to housing of €3.35m. The decrease in long term debtors / deferred income is due to a change in accounting for development levies due. This is in accordance with circular Fin 11/2016 issued by the Department on 16 December 2016, whereby the AFS no longer reports long term debtors and deferred income separately. Contributing factors to the increase in net current assets included an increase in trade debtors of €590k and a decrease in creditors and accruals of €751k.</w:t>
      </w:r>
    </w:p>
    <w:p>
      <w:pPr>
        <w:pStyle w:val="BodyText"/>
        <w:spacing w:before="10"/>
        <w:rPr>
          <w:sz w:val="21"/>
        </w:rPr>
      </w:pPr>
    </w:p>
    <w:p>
      <w:pPr>
        <w:pStyle w:val="BodyText"/>
        <w:ind w:left="838" w:right="490"/>
      </w:pPr>
      <w:r>
        <w:rPr/>
        <w:t>The specific revenue reserve was a mechanism put in place to facilitate the changeover in accounting treatment when local authorities moved from accounting on a cash basis to the accruals basis. In accordance with circular Fin 11/2016, local authorities are permitted to eliminate their specific revenue reserve in one of the following manners:</w:t>
      </w:r>
    </w:p>
    <w:p>
      <w:pPr>
        <w:pStyle w:val="BodyText"/>
        <w:spacing w:before="10"/>
        <w:rPr>
          <w:sz w:val="21"/>
        </w:rPr>
      </w:pPr>
    </w:p>
    <w:p>
      <w:pPr>
        <w:pStyle w:val="ListParagraph"/>
        <w:numPr>
          <w:ilvl w:val="0"/>
          <w:numId w:val="3"/>
        </w:numPr>
        <w:tabs>
          <w:tab w:pos="1040" w:val="left" w:leader="none"/>
        </w:tabs>
        <w:spacing w:line="240" w:lineRule="auto" w:before="0" w:after="0"/>
        <w:ind w:left="826" w:right="0" w:firstLine="12"/>
        <w:jc w:val="left"/>
        <w:rPr>
          <w:sz w:val="22"/>
        </w:rPr>
      </w:pPr>
      <w:r>
        <w:rPr>
          <w:sz w:val="22"/>
        </w:rPr>
        <w:t>Write down of general revenue reserve</w:t>
      </w:r>
      <w:r>
        <w:rPr>
          <w:spacing w:val="-21"/>
          <w:sz w:val="22"/>
        </w:rPr>
        <w:t> </w:t>
      </w:r>
      <w:r>
        <w:rPr>
          <w:sz w:val="22"/>
        </w:rPr>
        <w:t>deficits</w:t>
      </w:r>
    </w:p>
    <w:p>
      <w:pPr>
        <w:pStyle w:val="ListParagraph"/>
        <w:numPr>
          <w:ilvl w:val="0"/>
          <w:numId w:val="3"/>
        </w:numPr>
        <w:tabs>
          <w:tab w:pos="1040" w:val="left" w:leader="none"/>
        </w:tabs>
        <w:spacing w:line="240" w:lineRule="auto" w:before="16" w:after="0"/>
        <w:ind w:left="826" w:right="0" w:firstLine="12"/>
        <w:jc w:val="left"/>
        <w:rPr>
          <w:sz w:val="22"/>
        </w:rPr>
      </w:pPr>
      <w:r>
        <w:rPr>
          <w:sz w:val="22"/>
        </w:rPr>
        <w:t>Write down of unfunded capital project</w:t>
      </w:r>
      <w:r>
        <w:rPr>
          <w:spacing w:val="-28"/>
          <w:sz w:val="22"/>
        </w:rPr>
        <w:t> </w:t>
      </w:r>
      <w:r>
        <w:rPr>
          <w:sz w:val="22"/>
        </w:rPr>
        <w:t>balances.</w:t>
      </w:r>
    </w:p>
    <w:p>
      <w:pPr>
        <w:pStyle w:val="BodyText"/>
        <w:spacing w:before="1"/>
      </w:pPr>
    </w:p>
    <w:p>
      <w:pPr>
        <w:pStyle w:val="BodyText"/>
        <w:ind w:left="838" w:right="240"/>
      </w:pPr>
      <w:r>
        <w:rPr/>
        <w:t>In accordance with this circular, the Council used the balance on the specific revenue reserve of €1.1m to fund a number of unfunded projects included in the capital account, including</w:t>
      </w:r>
    </w:p>
    <w:p>
      <w:pPr>
        <w:pStyle w:val="BodyText"/>
        <w:ind w:left="838" w:right="701"/>
      </w:pPr>
      <w:r>
        <w:rPr/>
        <w:t>€858k in respect of Cootehill Business Park and €225k in respect of land acquisitions at Ballyconnell.</w:t>
      </w:r>
    </w:p>
    <w:p>
      <w:pPr>
        <w:pStyle w:val="BodyText"/>
        <w:spacing w:before="2"/>
      </w:pPr>
    </w:p>
    <w:p>
      <w:pPr>
        <w:pStyle w:val="Heading2"/>
        <w:ind w:firstLine="0"/>
      </w:pPr>
      <w:r>
        <w:rPr/>
        <w:t>Chief Executive’s Response</w:t>
      </w:r>
    </w:p>
    <w:p>
      <w:pPr>
        <w:pStyle w:val="BodyText"/>
        <w:spacing w:before="10"/>
        <w:rPr>
          <w:b/>
          <w:sz w:val="21"/>
        </w:rPr>
      </w:pPr>
    </w:p>
    <w:p>
      <w:pPr>
        <w:pStyle w:val="BodyText"/>
        <w:ind w:left="838" w:right="149"/>
      </w:pPr>
      <w:r>
        <w:rPr/>
        <w:t>The adjustment reducing the surplus to a deficit as outlined above arose as a result of legal cost accruals which the Council was not advised of until 30 June 2017. These will be absorbed in the 2017 accounts. The outturn on both the revenue and capital account at 31 December 2016 represents a satisfactory outcome.</w:t>
      </w:r>
    </w:p>
    <w:p>
      <w:pPr>
        <w:pStyle w:val="BodyText"/>
        <w:spacing w:before="10"/>
        <w:rPr>
          <w:sz w:val="21"/>
        </w:rPr>
      </w:pPr>
    </w:p>
    <w:p>
      <w:pPr>
        <w:pStyle w:val="Heading2"/>
        <w:numPr>
          <w:ilvl w:val="0"/>
          <w:numId w:val="3"/>
        </w:numPr>
        <w:tabs>
          <w:tab w:pos="837" w:val="left" w:leader="none"/>
          <w:tab w:pos="838" w:val="left" w:leader="none"/>
        </w:tabs>
        <w:spacing w:line="240" w:lineRule="auto" w:before="0" w:after="0"/>
        <w:ind w:left="838" w:right="0" w:hanging="720"/>
        <w:jc w:val="left"/>
      </w:pPr>
      <w:r>
        <w:rPr>
          <w:spacing w:val="-3"/>
        </w:rPr>
        <w:t>Income</w:t>
      </w:r>
      <w:r>
        <w:rPr>
          <w:spacing w:val="2"/>
        </w:rPr>
        <w:t> </w:t>
      </w:r>
      <w:r>
        <w:rPr>
          <w:spacing w:val="-4"/>
        </w:rPr>
        <w:t>Collection</w:t>
      </w:r>
    </w:p>
    <w:p>
      <w:pPr>
        <w:pStyle w:val="BodyText"/>
        <w:spacing w:before="10"/>
        <w:rPr>
          <w:b/>
          <w:sz w:val="21"/>
        </w:rPr>
      </w:pPr>
    </w:p>
    <w:p>
      <w:pPr>
        <w:pStyle w:val="ListParagraph"/>
        <w:numPr>
          <w:ilvl w:val="1"/>
          <w:numId w:val="3"/>
        </w:numPr>
        <w:tabs>
          <w:tab w:pos="837" w:val="left" w:leader="none"/>
          <w:tab w:pos="838" w:val="left" w:leader="none"/>
        </w:tabs>
        <w:spacing w:line="240" w:lineRule="auto" w:before="0" w:after="0"/>
        <w:ind w:left="838" w:right="0" w:hanging="720"/>
        <w:jc w:val="left"/>
        <w:rPr>
          <w:b/>
          <w:sz w:val="22"/>
        </w:rPr>
      </w:pPr>
      <w:r>
        <w:rPr>
          <w:b/>
          <w:spacing w:val="-4"/>
          <w:sz w:val="22"/>
        </w:rPr>
        <w:t>Summary </w:t>
      </w:r>
      <w:r>
        <w:rPr>
          <w:b/>
          <w:sz w:val="22"/>
        </w:rPr>
        <w:t>of </w:t>
      </w:r>
      <w:r>
        <w:rPr>
          <w:b/>
          <w:spacing w:val="-4"/>
          <w:sz w:val="22"/>
        </w:rPr>
        <w:t>Collection</w:t>
      </w:r>
      <w:r>
        <w:rPr>
          <w:b/>
          <w:spacing w:val="6"/>
          <w:sz w:val="22"/>
        </w:rPr>
        <w:t> </w:t>
      </w:r>
      <w:r>
        <w:rPr>
          <w:b/>
          <w:spacing w:val="-4"/>
          <w:sz w:val="22"/>
        </w:rPr>
        <w:t>Accounts</w:t>
      </w:r>
    </w:p>
    <w:p>
      <w:pPr>
        <w:pStyle w:val="BodyText"/>
        <w:spacing w:before="1"/>
        <w:rPr>
          <w:b/>
        </w:rPr>
      </w:pPr>
    </w:p>
    <w:p>
      <w:pPr>
        <w:pStyle w:val="BodyText"/>
        <w:ind w:left="838"/>
      </w:pPr>
      <w:r>
        <w:rPr>
          <w:spacing w:val="-4"/>
        </w:rPr>
        <w:t>Details </w:t>
      </w:r>
      <w:r>
        <w:rPr/>
        <w:t>of </w:t>
      </w:r>
      <w:r>
        <w:rPr>
          <w:spacing w:val="-4"/>
        </w:rPr>
        <w:t>collection </w:t>
      </w:r>
      <w:r>
        <w:rPr>
          <w:spacing w:val="-3"/>
        </w:rPr>
        <w:t>yields from </w:t>
      </w:r>
      <w:r>
        <w:rPr/>
        <w:t>the </w:t>
      </w:r>
      <w:r>
        <w:rPr>
          <w:spacing w:val="-4"/>
        </w:rPr>
        <w:t>main revenue collection accounts </w:t>
      </w:r>
      <w:r>
        <w:rPr>
          <w:spacing w:val="-3"/>
        </w:rPr>
        <w:t>for </w:t>
      </w:r>
      <w:r>
        <w:rPr>
          <w:spacing w:val="-4"/>
        </w:rPr>
        <w:t>2016 </w:t>
      </w:r>
      <w:r>
        <w:rPr>
          <w:spacing w:val="-3"/>
        </w:rPr>
        <w:t>with </w:t>
      </w:r>
      <w:r>
        <w:rPr>
          <w:spacing w:val="-4"/>
        </w:rPr>
        <w:t>comparative percentages </w:t>
      </w:r>
      <w:r>
        <w:rPr/>
        <w:t>for </w:t>
      </w:r>
      <w:r>
        <w:rPr>
          <w:spacing w:val="-3"/>
        </w:rPr>
        <w:t>the </w:t>
      </w:r>
      <w:r>
        <w:rPr>
          <w:spacing w:val="-4"/>
        </w:rPr>
        <w:t>previous year </w:t>
      </w:r>
      <w:r>
        <w:rPr>
          <w:spacing w:val="-3"/>
        </w:rPr>
        <w:t>were as </w:t>
      </w:r>
      <w:r>
        <w:rPr>
          <w:spacing w:val="-4"/>
        </w:rPr>
        <w:t>follows:</w:t>
      </w:r>
    </w:p>
    <w:p>
      <w:pPr>
        <w:pStyle w:val="BodyText"/>
        <w:rPr>
          <w:sz w:val="20"/>
        </w:rPr>
      </w:pPr>
    </w:p>
    <w:p>
      <w:pPr>
        <w:pStyle w:val="BodyText"/>
        <w:rPr>
          <w:sz w:val="20"/>
        </w:rPr>
      </w:pPr>
    </w:p>
    <w:p>
      <w:pPr>
        <w:pStyle w:val="BodyText"/>
        <w:spacing w:before="8"/>
        <w:rPr>
          <w:sz w:val="10"/>
        </w:rPr>
      </w:pPr>
    </w:p>
    <w:tbl>
      <w:tblPr>
        <w:tblW w:w="0" w:type="auto"/>
        <w:jc w:val="left"/>
        <w:tblInd w:w="1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703"/>
        <w:gridCol w:w="1349"/>
        <w:gridCol w:w="1193"/>
      </w:tblGrid>
      <w:tr>
        <w:trPr>
          <w:trHeight w:val="280" w:hRule="atLeast"/>
        </w:trPr>
        <w:tc>
          <w:tcPr>
            <w:tcW w:w="2703" w:type="dxa"/>
          </w:tcPr>
          <w:p>
            <w:pPr>
              <w:pStyle w:val="TableParagraph"/>
              <w:rPr>
                <w:rFonts w:ascii="Times New Roman"/>
                <w:sz w:val="20"/>
              </w:rPr>
            </w:pPr>
          </w:p>
        </w:tc>
        <w:tc>
          <w:tcPr>
            <w:tcW w:w="1349" w:type="dxa"/>
          </w:tcPr>
          <w:p>
            <w:pPr>
              <w:pStyle w:val="TableParagraph"/>
              <w:ind w:left="356"/>
              <w:rPr>
                <w:b/>
                <w:sz w:val="22"/>
              </w:rPr>
            </w:pPr>
            <w:r>
              <w:rPr>
                <w:b/>
                <w:sz w:val="22"/>
              </w:rPr>
              <w:t>2016</w:t>
            </w:r>
          </w:p>
        </w:tc>
        <w:tc>
          <w:tcPr>
            <w:tcW w:w="1193" w:type="dxa"/>
          </w:tcPr>
          <w:p>
            <w:pPr>
              <w:pStyle w:val="TableParagraph"/>
              <w:ind w:right="198"/>
              <w:jc w:val="right"/>
              <w:rPr>
                <w:b/>
                <w:sz w:val="22"/>
              </w:rPr>
            </w:pPr>
            <w:r>
              <w:rPr>
                <w:b/>
                <w:sz w:val="22"/>
              </w:rPr>
              <w:t>2015</w:t>
            </w:r>
          </w:p>
        </w:tc>
      </w:tr>
      <w:tr>
        <w:trPr>
          <w:trHeight w:val="480" w:hRule="atLeast"/>
        </w:trPr>
        <w:tc>
          <w:tcPr>
            <w:tcW w:w="2703" w:type="dxa"/>
          </w:tcPr>
          <w:p>
            <w:pPr>
              <w:pStyle w:val="TableParagraph"/>
              <w:spacing w:before="38"/>
              <w:ind w:left="200"/>
              <w:rPr>
                <w:sz w:val="22"/>
              </w:rPr>
            </w:pPr>
            <w:r>
              <w:rPr>
                <w:sz w:val="22"/>
              </w:rPr>
              <w:t>Rates</w:t>
            </w:r>
          </w:p>
        </w:tc>
        <w:tc>
          <w:tcPr>
            <w:tcW w:w="1349" w:type="dxa"/>
          </w:tcPr>
          <w:p>
            <w:pPr>
              <w:pStyle w:val="TableParagraph"/>
              <w:spacing w:before="38"/>
              <w:ind w:left="356"/>
              <w:rPr>
                <w:sz w:val="22"/>
              </w:rPr>
            </w:pPr>
            <w:r>
              <w:rPr>
                <w:sz w:val="22"/>
              </w:rPr>
              <w:t>83%</w:t>
            </w:r>
          </w:p>
        </w:tc>
        <w:tc>
          <w:tcPr>
            <w:tcW w:w="1193" w:type="dxa"/>
          </w:tcPr>
          <w:p>
            <w:pPr>
              <w:pStyle w:val="TableParagraph"/>
              <w:spacing w:before="38"/>
              <w:ind w:right="241"/>
              <w:jc w:val="right"/>
              <w:rPr>
                <w:sz w:val="22"/>
              </w:rPr>
            </w:pPr>
            <w:r>
              <w:rPr>
                <w:sz w:val="22"/>
              </w:rPr>
              <w:t>82%</w:t>
            </w:r>
          </w:p>
        </w:tc>
      </w:tr>
      <w:tr>
        <w:trPr>
          <w:trHeight w:val="620" w:hRule="atLeast"/>
        </w:trPr>
        <w:tc>
          <w:tcPr>
            <w:tcW w:w="2703" w:type="dxa"/>
          </w:tcPr>
          <w:p>
            <w:pPr>
              <w:pStyle w:val="TableParagraph"/>
              <w:spacing w:before="190"/>
              <w:ind w:left="200"/>
              <w:rPr>
                <w:sz w:val="22"/>
              </w:rPr>
            </w:pPr>
            <w:r>
              <w:rPr>
                <w:sz w:val="22"/>
              </w:rPr>
              <w:t>Housing Rents &amp; Annuities</w:t>
            </w:r>
          </w:p>
        </w:tc>
        <w:tc>
          <w:tcPr>
            <w:tcW w:w="1349" w:type="dxa"/>
          </w:tcPr>
          <w:p>
            <w:pPr>
              <w:pStyle w:val="TableParagraph"/>
              <w:spacing w:before="190"/>
              <w:ind w:left="356"/>
              <w:rPr>
                <w:sz w:val="22"/>
              </w:rPr>
            </w:pPr>
            <w:r>
              <w:rPr>
                <w:sz w:val="22"/>
              </w:rPr>
              <w:t>84%</w:t>
            </w:r>
          </w:p>
        </w:tc>
        <w:tc>
          <w:tcPr>
            <w:tcW w:w="1193" w:type="dxa"/>
          </w:tcPr>
          <w:p>
            <w:pPr>
              <w:pStyle w:val="TableParagraph"/>
              <w:spacing w:before="190"/>
              <w:ind w:right="241"/>
              <w:jc w:val="right"/>
              <w:rPr>
                <w:sz w:val="22"/>
              </w:rPr>
            </w:pPr>
            <w:r>
              <w:rPr>
                <w:sz w:val="22"/>
              </w:rPr>
              <w:t>84%</w:t>
            </w:r>
          </w:p>
        </w:tc>
      </w:tr>
      <w:tr>
        <w:trPr>
          <w:trHeight w:val="440" w:hRule="atLeast"/>
        </w:trPr>
        <w:tc>
          <w:tcPr>
            <w:tcW w:w="2703" w:type="dxa"/>
          </w:tcPr>
          <w:p>
            <w:pPr>
              <w:pStyle w:val="TableParagraph"/>
              <w:spacing w:line="233" w:lineRule="exact" w:before="188"/>
              <w:ind w:left="200"/>
              <w:rPr>
                <w:sz w:val="22"/>
              </w:rPr>
            </w:pPr>
            <w:r>
              <w:rPr>
                <w:sz w:val="22"/>
              </w:rPr>
              <w:t>Housing Loans</w:t>
            </w:r>
          </w:p>
        </w:tc>
        <w:tc>
          <w:tcPr>
            <w:tcW w:w="1349" w:type="dxa"/>
          </w:tcPr>
          <w:p>
            <w:pPr>
              <w:pStyle w:val="TableParagraph"/>
              <w:spacing w:line="233" w:lineRule="exact" w:before="188"/>
              <w:ind w:left="356"/>
              <w:rPr>
                <w:sz w:val="22"/>
              </w:rPr>
            </w:pPr>
            <w:r>
              <w:rPr>
                <w:sz w:val="22"/>
              </w:rPr>
              <w:t>77%</w:t>
            </w:r>
          </w:p>
        </w:tc>
        <w:tc>
          <w:tcPr>
            <w:tcW w:w="1193" w:type="dxa"/>
          </w:tcPr>
          <w:p>
            <w:pPr>
              <w:pStyle w:val="TableParagraph"/>
              <w:spacing w:line="233" w:lineRule="exact" w:before="188"/>
              <w:ind w:right="241"/>
              <w:jc w:val="right"/>
              <w:rPr>
                <w:sz w:val="22"/>
              </w:rPr>
            </w:pPr>
            <w:r>
              <w:rPr>
                <w:sz w:val="22"/>
              </w:rPr>
              <w:t>73%</w:t>
            </w:r>
          </w:p>
        </w:tc>
      </w:tr>
    </w:tbl>
    <w:p>
      <w:pPr>
        <w:spacing w:after="0" w:line="233" w:lineRule="exact"/>
        <w:jc w:val="right"/>
        <w:rPr>
          <w:sz w:val="22"/>
        </w:rPr>
        <w:sectPr>
          <w:pgSz w:w="11910" w:h="16840"/>
          <w:pgMar w:header="0" w:footer="447" w:top="1320" w:bottom="640" w:left="1680" w:right="1680"/>
        </w:sectPr>
      </w:pPr>
    </w:p>
    <w:p>
      <w:pPr>
        <w:pStyle w:val="Heading2"/>
        <w:numPr>
          <w:ilvl w:val="1"/>
          <w:numId w:val="3"/>
        </w:numPr>
        <w:tabs>
          <w:tab w:pos="837" w:val="left" w:leader="none"/>
          <w:tab w:pos="838" w:val="left" w:leader="none"/>
        </w:tabs>
        <w:spacing w:line="240" w:lineRule="auto" w:before="78" w:after="0"/>
        <w:ind w:left="838" w:right="0" w:hanging="720"/>
        <w:jc w:val="left"/>
      </w:pPr>
      <w:r>
        <w:rPr>
          <w:spacing w:val="-3"/>
        </w:rPr>
        <w:t>Rates</w:t>
      </w:r>
    </w:p>
    <w:p>
      <w:pPr>
        <w:pStyle w:val="BodyText"/>
        <w:spacing w:before="10"/>
        <w:rPr>
          <w:b/>
          <w:sz w:val="21"/>
        </w:rPr>
      </w:pPr>
    </w:p>
    <w:p>
      <w:pPr>
        <w:pStyle w:val="BodyText"/>
        <w:ind w:left="838"/>
      </w:pPr>
      <w:r>
        <w:rPr>
          <w:spacing w:val="-3"/>
        </w:rPr>
        <w:t>Rates </w:t>
      </w:r>
      <w:r>
        <w:rPr>
          <w:spacing w:val="-4"/>
        </w:rPr>
        <w:t>arrears </w:t>
      </w:r>
      <w:r>
        <w:rPr/>
        <w:t>at </w:t>
      </w:r>
      <w:r>
        <w:rPr>
          <w:spacing w:val="-3"/>
        </w:rPr>
        <w:t>the end </w:t>
      </w:r>
      <w:r>
        <w:rPr/>
        <w:t>of </w:t>
      </w:r>
      <w:r>
        <w:rPr>
          <w:spacing w:val="-4"/>
        </w:rPr>
        <w:t>2016 amounted </w:t>
      </w:r>
      <w:r>
        <w:rPr>
          <w:spacing w:val="-3"/>
        </w:rPr>
        <w:t>to </w:t>
      </w:r>
      <w:r>
        <w:rPr>
          <w:spacing w:val="-4"/>
        </w:rPr>
        <w:t>€3.602m (€3.907m </w:t>
      </w:r>
      <w:r>
        <w:rPr/>
        <w:t>in </w:t>
      </w:r>
      <w:r>
        <w:rPr>
          <w:spacing w:val="-4"/>
        </w:rPr>
        <w:t>2015). </w:t>
      </w:r>
      <w:r>
        <w:rPr>
          <w:spacing w:val="-3"/>
        </w:rPr>
        <w:t>Write offs of </w:t>
      </w:r>
      <w:r>
        <w:rPr>
          <w:spacing w:val="-4"/>
        </w:rPr>
        <w:t>rates balances </w:t>
      </w:r>
      <w:r>
        <w:rPr>
          <w:spacing w:val="-3"/>
        </w:rPr>
        <w:t>reduced to </w:t>
      </w:r>
      <w:r>
        <w:rPr>
          <w:spacing w:val="-4"/>
        </w:rPr>
        <w:t>€627k </w:t>
      </w:r>
      <w:r>
        <w:rPr>
          <w:spacing w:val="-3"/>
        </w:rPr>
        <w:t>in 2016 </w:t>
      </w:r>
      <w:r>
        <w:rPr>
          <w:spacing w:val="-4"/>
        </w:rPr>
        <w:t>(€877k </w:t>
      </w:r>
      <w:r>
        <w:rPr>
          <w:spacing w:val="-3"/>
        </w:rPr>
        <w:t>in </w:t>
      </w:r>
      <w:r>
        <w:rPr>
          <w:spacing w:val="-4"/>
        </w:rPr>
        <w:t>2015), </w:t>
      </w:r>
      <w:r>
        <w:rPr/>
        <w:t>a </w:t>
      </w:r>
      <w:r>
        <w:rPr>
          <w:spacing w:val="-4"/>
        </w:rPr>
        <w:t>reduction </w:t>
      </w:r>
      <w:r>
        <w:rPr>
          <w:spacing w:val="-3"/>
        </w:rPr>
        <w:t>of </w:t>
      </w:r>
      <w:r>
        <w:rPr>
          <w:spacing w:val="-4"/>
        </w:rPr>
        <w:t>€249k. Vacant property adjustments </w:t>
      </w:r>
      <w:r>
        <w:rPr>
          <w:spacing w:val="-3"/>
        </w:rPr>
        <w:t>also </w:t>
      </w:r>
      <w:r>
        <w:rPr>
          <w:spacing w:val="-4"/>
        </w:rPr>
        <w:t>reduced </w:t>
      </w:r>
      <w:r>
        <w:rPr/>
        <w:t>to </w:t>
      </w:r>
      <w:r>
        <w:rPr>
          <w:spacing w:val="-4"/>
        </w:rPr>
        <w:t>€1.467m </w:t>
      </w:r>
      <w:r>
        <w:rPr>
          <w:spacing w:val="-3"/>
        </w:rPr>
        <w:t>in </w:t>
      </w:r>
      <w:r>
        <w:rPr>
          <w:spacing w:val="-4"/>
        </w:rPr>
        <w:t>2016 (€1.728m </w:t>
      </w:r>
      <w:r>
        <w:rPr>
          <w:spacing w:val="-3"/>
        </w:rPr>
        <w:t>in 2015), </w:t>
      </w:r>
      <w:r>
        <w:rPr/>
        <w:t>a </w:t>
      </w:r>
      <w:r>
        <w:rPr>
          <w:spacing w:val="-4"/>
        </w:rPr>
        <w:t>decrease </w:t>
      </w:r>
      <w:r>
        <w:rPr/>
        <w:t>of </w:t>
      </w:r>
      <w:r>
        <w:rPr>
          <w:spacing w:val="-3"/>
        </w:rPr>
        <w:t>€261k.</w:t>
      </w:r>
    </w:p>
    <w:p>
      <w:pPr>
        <w:pStyle w:val="BodyText"/>
        <w:spacing w:before="10"/>
        <w:rPr>
          <w:sz w:val="21"/>
        </w:rPr>
      </w:pPr>
    </w:p>
    <w:p>
      <w:pPr>
        <w:pStyle w:val="Heading2"/>
        <w:ind w:firstLine="0"/>
      </w:pPr>
      <w:r>
        <w:rPr/>
        <w:t>Chief Executive’s Response</w:t>
      </w:r>
    </w:p>
    <w:p>
      <w:pPr>
        <w:pStyle w:val="BodyText"/>
        <w:spacing w:before="10"/>
        <w:rPr>
          <w:b/>
          <w:sz w:val="21"/>
        </w:rPr>
      </w:pPr>
    </w:p>
    <w:p>
      <w:pPr>
        <w:pStyle w:val="BodyText"/>
        <w:ind w:left="838"/>
      </w:pPr>
      <w:r>
        <w:rPr>
          <w:spacing w:val="-3"/>
        </w:rPr>
        <w:t>There was </w:t>
      </w:r>
      <w:r>
        <w:rPr/>
        <w:t>a </w:t>
      </w:r>
      <w:r>
        <w:rPr>
          <w:spacing w:val="-3"/>
        </w:rPr>
        <w:t>small </w:t>
      </w:r>
      <w:r>
        <w:rPr>
          <w:spacing w:val="-4"/>
        </w:rPr>
        <w:t>increase </w:t>
      </w:r>
      <w:r>
        <w:rPr>
          <w:spacing w:val="-3"/>
        </w:rPr>
        <w:t>in the </w:t>
      </w:r>
      <w:r>
        <w:rPr>
          <w:spacing w:val="-4"/>
        </w:rPr>
        <w:t>collection performance </w:t>
      </w:r>
      <w:r>
        <w:rPr/>
        <w:t>of </w:t>
      </w:r>
      <w:r>
        <w:rPr>
          <w:spacing w:val="-4"/>
        </w:rPr>
        <w:t>rates </w:t>
      </w:r>
      <w:r>
        <w:rPr/>
        <w:t>in </w:t>
      </w:r>
      <w:r>
        <w:rPr>
          <w:spacing w:val="-4"/>
        </w:rPr>
        <w:t>2016, </w:t>
      </w:r>
      <w:r>
        <w:rPr/>
        <w:t>up </w:t>
      </w:r>
      <w:r>
        <w:rPr>
          <w:spacing w:val="-3"/>
        </w:rPr>
        <w:t>1% </w:t>
      </w:r>
      <w:r>
        <w:rPr/>
        <w:t>to </w:t>
      </w:r>
      <w:r>
        <w:rPr>
          <w:spacing w:val="-3"/>
        </w:rPr>
        <w:t>83%. </w:t>
      </w:r>
      <w:r>
        <w:rPr>
          <w:spacing w:val="-4"/>
        </w:rPr>
        <w:t>This reflects </w:t>
      </w:r>
      <w:r>
        <w:rPr>
          <w:spacing w:val="-3"/>
        </w:rPr>
        <w:t>the </w:t>
      </w:r>
      <w:r>
        <w:rPr>
          <w:spacing w:val="-4"/>
        </w:rPr>
        <w:t>challenging environment </w:t>
      </w:r>
      <w:r>
        <w:rPr>
          <w:spacing w:val="-3"/>
        </w:rPr>
        <w:t>that still </w:t>
      </w:r>
      <w:r>
        <w:rPr>
          <w:spacing w:val="-4"/>
        </w:rPr>
        <w:t>pertains </w:t>
      </w:r>
      <w:r>
        <w:rPr/>
        <w:t>in a </w:t>
      </w:r>
      <w:r>
        <w:rPr>
          <w:spacing w:val="-4"/>
        </w:rPr>
        <w:t>number </w:t>
      </w:r>
      <w:r>
        <w:rPr/>
        <w:t>of </w:t>
      </w:r>
      <w:r>
        <w:rPr>
          <w:spacing w:val="-4"/>
        </w:rPr>
        <w:t>sectors </w:t>
      </w:r>
      <w:r>
        <w:rPr/>
        <w:t>of </w:t>
      </w:r>
      <w:r>
        <w:rPr>
          <w:spacing w:val="-3"/>
        </w:rPr>
        <w:t>the </w:t>
      </w:r>
      <w:r>
        <w:rPr>
          <w:spacing w:val="-4"/>
        </w:rPr>
        <w:t>rural economy. </w:t>
      </w:r>
      <w:r>
        <w:rPr>
          <w:spacing w:val="-3"/>
        </w:rPr>
        <w:t>Every </w:t>
      </w:r>
      <w:r>
        <w:rPr>
          <w:spacing w:val="-4"/>
        </w:rPr>
        <w:t>effort </w:t>
      </w:r>
      <w:r>
        <w:rPr>
          <w:spacing w:val="-3"/>
        </w:rPr>
        <w:t>is being made </w:t>
      </w:r>
      <w:r>
        <w:rPr/>
        <w:t>to </w:t>
      </w:r>
      <w:r>
        <w:rPr>
          <w:spacing w:val="-4"/>
        </w:rPr>
        <w:t>improve collection performance.</w:t>
      </w:r>
    </w:p>
    <w:p>
      <w:pPr>
        <w:pStyle w:val="BodyText"/>
        <w:spacing w:before="11"/>
        <w:rPr>
          <w:sz w:val="21"/>
        </w:rPr>
      </w:pPr>
    </w:p>
    <w:p>
      <w:pPr>
        <w:pStyle w:val="Heading2"/>
        <w:numPr>
          <w:ilvl w:val="1"/>
          <w:numId w:val="3"/>
        </w:numPr>
        <w:tabs>
          <w:tab w:pos="837" w:val="left" w:leader="none"/>
          <w:tab w:pos="838" w:val="left" w:leader="none"/>
        </w:tabs>
        <w:spacing w:line="240" w:lineRule="auto" w:before="0" w:after="0"/>
        <w:ind w:left="838" w:right="0" w:hanging="720"/>
        <w:jc w:val="left"/>
      </w:pPr>
      <w:r>
        <w:rPr>
          <w:spacing w:val="-3"/>
        </w:rPr>
        <w:t>Rents and</w:t>
      </w:r>
      <w:r>
        <w:rPr>
          <w:spacing w:val="3"/>
        </w:rPr>
        <w:t> </w:t>
      </w:r>
      <w:r>
        <w:rPr>
          <w:spacing w:val="-4"/>
        </w:rPr>
        <w:t>Annuities</w:t>
      </w:r>
    </w:p>
    <w:p>
      <w:pPr>
        <w:pStyle w:val="BodyText"/>
        <w:spacing w:before="10"/>
        <w:rPr>
          <w:b/>
          <w:sz w:val="21"/>
        </w:rPr>
      </w:pPr>
    </w:p>
    <w:p>
      <w:pPr>
        <w:pStyle w:val="BodyText"/>
        <w:ind w:left="838"/>
      </w:pPr>
      <w:r>
        <w:rPr/>
        <w:t>At </w:t>
      </w:r>
      <w:r>
        <w:rPr>
          <w:spacing w:val="-3"/>
        </w:rPr>
        <w:t>the end of 2016, rent </w:t>
      </w:r>
      <w:r>
        <w:rPr>
          <w:spacing w:val="-4"/>
        </w:rPr>
        <w:t>arrears totalled €1.127m (€1.104m </w:t>
      </w:r>
      <w:r>
        <w:rPr>
          <w:spacing w:val="-3"/>
        </w:rPr>
        <w:t>in </w:t>
      </w:r>
      <w:r>
        <w:rPr>
          <w:spacing w:val="-4"/>
        </w:rPr>
        <w:t>2015). Balances </w:t>
      </w:r>
      <w:r>
        <w:rPr/>
        <w:t>on </w:t>
      </w:r>
      <w:r>
        <w:rPr>
          <w:spacing w:val="-3"/>
        </w:rPr>
        <w:t>the ten </w:t>
      </w:r>
      <w:r>
        <w:rPr>
          <w:spacing w:val="-4"/>
        </w:rPr>
        <w:t>largest accounts </w:t>
      </w:r>
      <w:r>
        <w:rPr>
          <w:spacing w:val="-3"/>
        </w:rPr>
        <w:t>range from </w:t>
      </w:r>
      <w:r>
        <w:rPr>
          <w:spacing w:val="-4"/>
        </w:rPr>
        <w:t>€10k </w:t>
      </w:r>
      <w:r>
        <w:rPr>
          <w:spacing w:val="-3"/>
        </w:rPr>
        <w:t>to €14k. </w:t>
      </w:r>
      <w:r>
        <w:rPr/>
        <w:t>A </w:t>
      </w:r>
      <w:r>
        <w:rPr>
          <w:spacing w:val="-4"/>
        </w:rPr>
        <w:t>review </w:t>
      </w:r>
      <w:r>
        <w:rPr>
          <w:spacing w:val="-3"/>
        </w:rPr>
        <w:t>of </w:t>
      </w:r>
      <w:r>
        <w:rPr/>
        <w:t>a </w:t>
      </w:r>
      <w:r>
        <w:rPr>
          <w:spacing w:val="-4"/>
        </w:rPr>
        <w:t>sample </w:t>
      </w:r>
      <w:r>
        <w:rPr/>
        <w:t>of </w:t>
      </w:r>
      <w:r>
        <w:rPr>
          <w:spacing w:val="-4"/>
        </w:rPr>
        <w:t>accounts revealed </w:t>
      </w:r>
      <w:r>
        <w:rPr>
          <w:spacing w:val="-3"/>
        </w:rPr>
        <w:t>that in some cases more follow up of </w:t>
      </w:r>
      <w:r>
        <w:rPr>
          <w:spacing w:val="-4"/>
        </w:rPr>
        <w:t>arrears </w:t>
      </w:r>
      <w:r>
        <w:rPr/>
        <w:t>is </w:t>
      </w:r>
      <w:r>
        <w:rPr>
          <w:spacing w:val="-4"/>
        </w:rPr>
        <w:t>required. There </w:t>
      </w:r>
      <w:r>
        <w:rPr>
          <w:spacing w:val="-3"/>
        </w:rPr>
        <w:t>are </w:t>
      </w:r>
      <w:r>
        <w:rPr>
          <w:spacing w:val="-4"/>
        </w:rPr>
        <w:t>also </w:t>
      </w:r>
      <w:r>
        <w:rPr>
          <w:spacing w:val="-3"/>
        </w:rPr>
        <w:t>cases </w:t>
      </w:r>
      <w:r>
        <w:rPr>
          <w:spacing w:val="-4"/>
        </w:rPr>
        <w:t>where although payments </w:t>
      </w:r>
      <w:r>
        <w:rPr>
          <w:spacing w:val="-3"/>
        </w:rPr>
        <w:t>are being </w:t>
      </w:r>
      <w:r>
        <w:rPr>
          <w:spacing w:val="-4"/>
        </w:rPr>
        <w:t>received, these </w:t>
      </w:r>
      <w:r>
        <w:rPr/>
        <w:t>are </w:t>
      </w:r>
      <w:r>
        <w:rPr>
          <w:spacing w:val="-4"/>
        </w:rPr>
        <w:t>insufficient </w:t>
      </w:r>
      <w:r>
        <w:rPr>
          <w:spacing w:val="-3"/>
        </w:rPr>
        <w:t>to clear the </w:t>
      </w:r>
      <w:r>
        <w:rPr>
          <w:spacing w:val="-4"/>
        </w:rPr>
        <w:t>weekly rent accrual, resulting </w:t>
      </w:r>
      <w:r>
        <w:rPr/>
        <w:t>in a </w:t>
      </w:r>
      <w:r>
        <w:rPr>
          <w:spacing w:val="-4"/>
        </w:rPr>
        <w:t>gradual increase </w:t>
      </w:r>
      <w:r>
        <w:rPr>
          <w:spacing w:val="-3"/>
        </w:rPr>
        <w:t>in </w:t>
      </w:r>
      <w:r>
        <w:rPr>
          <w:spacing w:val="-4"/>
        </w:rPr>
        <w:t>arrears.</w:t>
      </w:r>
    </w:p>
    <w:p>
      <w:pPr>
        <w:pStyle w:val="BodyText"/>
        <w:spacing w:before="1"/>
      </w:pPr>
    </w:p>
    <w:p>
      <w:pPr>
        <w:pStyle w:val="BodyText"/>
        <w:ind w:left="838" w:right="149"/>
      </w:pPr>
      <w:r>
        <w:rPr/>
        <w:t>It is </w:t>
      </w:r>
      <w:r>
        <w:rPr>
          <w:spacing w:val="-4"/>
        </w:rPr>
        <w:t>important </w:t>
      </w:r>
      <w:r>
        <w:rPr>
          <w:spacing w:val="-3"/>
        </w:rPr>
        <w:t>that </w:t>
      </w:r>
      <w:r>
        <w:rPr>
          <w:spacing w:val="-4"/>
        </w:rPr>
        <w:t>sufficient resources </w:t>
      </w:r>
      <w:r>
        <w:rPr/>
        <w:t>are </w:t>
      </w:r>
      <w:r>
        <w:rPr>
          <w:spacing w:val="-4"/>
        </w:rPr>
        <w:t>dedicated </w:t>
      </w:r>
      <w:r>
        <w:rPr/>
        <w:t>to </w:t>
      </w:r>
      <w:r>
        <w:rPr>
          <w:spacing w:val="-3"/>
        </w:rPr>
        <w:t>the </w:t>
      </w:r>
      <w:r>
        <w:rPr>
          <w:spacing w:val="-4"/>
        </w:rPr>
        <w:t>follow </w:t>
      </w:r>
      <w:r>
        <w:rPr>
          <w:spacing w:val="-3"/>
        </w:rPr>
        <w:t>up of </w:t>
      </w:r>
      <w:r>
        <w:rPr>
          <w:spacing w:val="-4"/>
        </w:rPr>
        <w:t>rent arrears. Rent payment </w:t>
      </w:r>
      <w:r>
        <w:rPr>
          <w:spacing w:val="-3"/>
        </w:rPr>
        <w:t>plans </w:t>
      </w:r>
      <w:r>
        <w:rPr>
          <w:spacing w:val="-4"/>
        </w:rPr>
        <w:t>agreed </w:t>
      </w:r>
      <w:r>
        <w:rPr>
          <w:spacing w:val="-3"/>
        </w:rPr>
        <w:t>with </w:t>
      </w:r>
      <w:r>
        <w:rPr>
          <w:spacing w:val="-4"/>
        </w:rPr>
        <w:t>tenants should </w:t>
      </w:r>
      <w:r>
        <w:rPr>
          <w:spacing w:val="-3"/>
        </w:rPr>
        <w:t>be </w:t>
      </w:r>
      <w:r>
        <w:rPr>
          <w:spacing w:val="-4"/>
        </w:rPr>
        <w:t>sufficient </w:t>
      </w:r>
      <w:r>
        <w:rPr>
          <w:spacing w:val="-3"/>
        </w:rPr>
        <w:t>to cover </w:t>
      </w:r>
      <w:r>
        <w:rPr>
          <w:spacing w:val="-4"/>
        </w:rPr>
        <w:t>both </w:t>
      </w:r>
      <w:r>
        <w:rPr>
          <w:spacing w:val="-3"/>
        </w:rPr>
        <w:t>the </w:t>
      </w:r>
      <w:r>
        <w:rPr>
          <w:spacing w:val="-4"/>
        </w:rPr>
        <w:t>weekly rent accrual </w:t>
      </w:r>
      <w:r>
        <w:rPr>
          <w:spacing w:val="-3"/>
        </w:rPr>
        <w:t>as </w:t>
      </w:r>
      <w:r>
        <w:rPr>
          <w:spacing w:val="-4"/>
        </w:rPr>
        <w:t>well </w:t>
      </w:r>
      <w:r>
        <w:rPr>
          <w:spacing w:val="-3"/>
        </w:rPr>
        <w:t>as </w:t>
      </w:r>
      <w:r>
        <w:rPr>
          <w:spacing w:val="-4"/>
        </w:rPr>
        <w:t>reduce any arrears balance </w:t>
      </w:r>
      <w:r>
        <w:rPr/>
        <w:t>on </w:t>
      </w:r>
      <w:r>
        <w:rPr>
          <w:spacing w:val="-3"/>
        </w:rPr>
        <w:t>the </w:t>
      </w:r>
      <w:r>
        <w:rPr>
          <w:spacing w:val="-4"/>
        </w:rPr>
        <w:t>account.</w:t>
      </w:r>
    </w:p>
    <w:p>
      <w:pPr>
        <w:pStyle w:val="BodyText"/>
        <w:spacing w:before="10"/>
        <w:rPr>
          <w:sz w:val="21"/>
        </w:rPr>
      </w:pPr>
    </w:p>
    <w:p>
      <w:pPr>
        <w:pStyle w:val="Heading2"/>
        <w:ind w:left="886" w:firstLine="0"/>
      </w:pPr>
      <w:r>
        <w:rPr/>
        <w:t>Chief Executive’s Response</w:t>
      </w:r>
    </w:p>
    <w:p>
      <w:pPr>
        <w:pStyle w:val="BodyText"/>
        <w:spacing w:before="1"/>
        <w:rPr>
          <w:b/>
        </w:rPr>
      </w:pPr>
    </w:p>
    <w:p>
      <w:pPr>
        <w:pStyle w:val="BodyText"/>
        <w:ind w:left="838"/>
      </w:pPr>
      <w:r>
        <w:rPr>
          <w:spacing w:val="-3"/>
        </w:rPr>
        <w:t>There was no change </w:t>
      </w:r>
      <w:r>
        <w:rPr/>
        <w:t>in </w:t>
      </w:r>
      <w:r>
        <w:rPr>
          <w:spacing w:val="-3"/>
        </w:rPr>
        <w:t>the </w:t>
      </w:r>
      <w:r>
        <w:rPr>
          <w:spacing w:val="-4"/>
        </w:rPr>
        <w:t>collection performance </w:t>
      </w:r>
      <w:r>
        <w:rPr/>
        <w:t>in </w:t>
      </w:r>
      <w:r>
        <w:rPr>
          <w:spacing w:val="-4"/>
        </w:rPr>
        <w:t>respect </w:t>
      </w:r>
      <w:r>
        <w:rPr>
          <w:spacing w:val="-3"/>
        </w:rPr>
        <w:t>of </w:t>
      </w:r>
      <w:r>
        <w:rPr>
          <w:spacing w:val="-4"/>
        </w:rPr>
        <w:t>housing rents </w:t>
      </w:r>
      <w:r>
        <w:rPr>
          <w:spacing w:val="-3"/>
        </w:rPr>
        <w:t>and </w:t>
      </w:r>
      <w:r>
        <w:rPr>
          <w:spacing w:val="-4"/>
        </w:rPr>
        <w:t>annuities </w:t>
      </w:r>
      <w:r>
        <w:rPr>
          <w:spacing w:val="-3"/>
        </w:rPr>
        <w:t>for 2016. There </w:t>
      </w:r>
      <w:r>
        <w:rPr>
          <w:spacing w:val="-4"/>
        </w:rPr>
        <w:t>were </w:t>
      </w:r>
      <w:r>
        <w:rPr/>
        <w:t>a </w:t>
      </w:r>
      <w:r>
        <w:rPr>
          <w:spacing w:val="-4"/>
        </w:rPr>
        <w:t>number </w:t>
      </w:r>
      <w:r>
        <w:rPr>
          <w:spacing w:val="-3"/>
        </w:rPr>
        <w:t>of staff </w:t>
      </w:r>
      <w:r>
        <w:rPr>
          <w:spacing w:val="-4"/>
        </w:rPr>
        <w:t>changes </w:t>
      </w:r>
      <w:r>
        <w:rPr/>
        <w:t>in </w:t>
      </w:r>
      <w:r>
        <w:rPr>
          <w:spacing w:val="-4"/>
        </w:rPr>
        <w:t>this area </w:t>
      </w:r>
      <w:r>
        <w:rPr>
          <w:spacing w:val="-3"/>
        </w:rPr>
        <w:t>in </w:t>
      </w:r>
      <w:r>
        <w:rPr>
          <w:spacing w:val="-4"/>
        </w:rPr>
        <w:t>2016 </w:t>
      </w:r>
      <w:r>
        <w:rPr>
          <w:spacing w:val="-3"/>
        </w:rPr>
        <w:t>and </w:t>
      </w:r>
      <w:r>
        <w:rPr>
          <w:spacing w:val="-4"/>
        </w:rPr>
        <w:t>efforts </w:t>
      </w:r>
      <w:r>
        <w:rPr>
          <w:spacing w:val="-3"/>
        </w:rPr>
        <w:t>are </w:t>
      </w:r>
      <w:r>
        <w:rPr>
          <w:spacing w:val="-4"/>
        </w:rPr>
        <w:t>ongoing </w:t>
      </w:r>
      <w:r>
        <w:rPr>
          <w:spacing w:val="-3"/>
        </w:rPr>
        <w:t>in </w:t>
      </w:r>
      <w:r>
        <w:rPr>
          <w:spacing w:val="-4"/>
        </w:rPr>
        <w:t>2017 </w:t>
      </w:r>
      <w:r>
        <w:rPr>
          <w:spacing w:val="-3"/>
        </w:rPr>
        <w:t>to improve </w:t>
      </w:r>
      <w:r>
        <w:rPr>
          <w:spacing w:val="-4"/>
        </w:rPr>
        <w:t>collection performance </w:t>
      </w:r>
      <w:r>
        <w:rPr/>
        <w:t>in </w:t>
      </w:r>
      <w:r>
        <w:rPr>
          <w:spacing w:val="-4"/>
        </w:rPr>
        <w:t>this area.</w:t>
      </w:r>
    </w:p>
    <w:p>
      <w:pPr>
        <w:pStyle w:val="BodyText"/>
        <w:spacing w:before="10"/>
        <w:rPr>
          <w:sz w:val="21"/>
        </w:rPr>
      </w:pPr>
    </w:p>
    <w:p>
      <w:pPr>
        <w:pStyle w:val="Heading2"/>
        <w:numPr>
          <w:ilvl w:val="1"/>
          <w:numId w:val="3"/>
        </w:numPr>
        <w:tabs>
          <w:tab w:pos="837" w:val="left" w:leader="none"/>
          <w:tab w:pos="838" w:val="left" w:leader="none"/>
        </w:tabs>
        <w:spacing w:line="240" w:lineRule="auto" w:before="0" w:after="0"/>
        <w:ind w:left="838" w:right="0" w:hanging="720"/>
        <w:jc w:val="left"/>
      </w:pPr>
      <w:r>
        <w:rPr>
          <w:spacing w:val="-3"/>
        </w:rPr>
        <w:t>Housing</w:t>
      </w:r>
      <w:r>
        <w:rPr>
          <w:spacing w:val="-4"/>
        </w:rPr>
        <w:t> </w:t>
      </w:r>
      <w:r>
        <w:rPr>
          <w:spacing w:val="-3"/>
        </w:rPr>
        <w:t>Loans</w:t>
      </w:r>
    </w:p>
    <w:p>
      <w:pPr>
        <w:pStyle w:val="BodyText"/>
        <w:spacing w:before="1"/>
        <w:rPr>
          <w:b/>
        </w:rPr>
      </w:pPr>
    </w:p>
    <w:p>
      <w:pPr>
        <w:pStyle w:val="BodyText"/>
        <w:ind w:left="838" w:right="209"/>
        <w:rPr>
          <w:b/>
        </w:rPr>
      </w:pPr>
      <w:r>
        <w:rPr>
          <w:spacing w:val="-3"/>
        </w:rPr>
        <w:t>Arrears </w:t>
      </w:r>
      <w:r>
        <w:rPr>
          <w:spacing w:val="-4"/>
        </w:rPr>
        <w:t>totalled €184k </w:t>
      </w:r>
      <w:r>
        <w:rPr/>
        <w:t>at </w:t>
      </w:r>
      <w:r>
        <w:rPr>
          <w:spacing w:val="-3"/>
        </w:rPr>
        <w:t>the </w:t>
      </w:r>
      <w:r>
        <w:rPr>
          <w:spacing w:val="-4"/>
        </w:rPr>
        <w:t>end </w:t>
      </w:r>
      <w:r>
        <w:rPr>
          <w:spacing w:val="-3"/>
        </w:rPr>
        <w:t>of </w:t>
      </w:r>
      <w:r>
        <w:rPr>
          <w:spacing w:val="-4"/>
        </w:rPr>
        <w:t>2016 (€218k </w:t>
      </w:r>
      <w:r>
        <w:rPr/>
        <w:t>in </w:t>
      </w:r>
      <w:r>
        <w:rPr>
          <w:spacing w:val="-4"/>
        </w:rPr>
        <w:t>2015). </w:t>
      </w:r>
      <w:r>
        <w:rPr>
          <w:spacing w:val="-3"/>
        </w:rPr>
        <w:t>The </w:t>
      </w:r>
      <w:r>
        <w:rPr>
          <w:spacing w:val="-4"/>
        </w:rPr>
        <w:t>collection </w:t>
      </w:r>
      <w:r>
        <w:rPr>
          <w:spacing w:val="-3"/>
        </w:rPr>
        <w:t>yield has </w:t>
      </w:r>
      <w:r>
        <w:rPr>
          <w:spacing w:val="-4"/>
        </w:rPr>
        <w:t>improved </w:t>
      </w:r>
      <w:r>
        <w:rPr/>
        <w:t>to </w:t>
      </w:r>
      <w:r>
        <w:rPr>
          <w:spacing w:val="-3"/>
        </w:rPr>
        <w:t>77% in </w:t>
      </w:r>
      <w:r>
        <w:rPr>
          <w:spacing w:val="-4"/>
        </w:rPr>
        <w:t>2016 compared </w:t>
      </w:r>
      <w:r>
        <w:rPr>
          <w:spacing w:val="-3"/>
        </w:rPr>
        <w:t>to </w:t>
      </w:r>
      <w:r>
        <w:rPr>
          <w:spacing w:val="-4"/>
        </w:rPr>
        <w:t>73% </w:t>
      </w:r>
      <w:r>
        <w:rPr/>
        <w:t>in </w:t>
      </w:r>
      <w:r>
        <w:rPr>
          <w:spacing w:val="-3"/>
        </w:rPr>
        <w:t>2015. </w:t>
      </w:r>
      <w:r>
        <w:rPr>
          <w:spacing w:val="-4"/>
        </w:rPr>
        <w:t>This </w:t>
      </w:r>
      <w:r>
        <w:rPr/>
        <w:t>is </w:t>
      </w:r>
      <w:r>
        <w:rPr>
          <w:spacing w:val="-4"/>
        </w:rPr>
        <w:t>predominately </w:t>
      </w:r>
      <w:r>
        <w:rPr>
          <w:spacing w:val="-3"/>
        </w:rPr>
        <w:t>due </w:t>
      </w:r>
      <w:r>
        <w:rPr/>
        <w:t>to </w:t>
      </w:r>
      <w:r>
        <w:rPr>
          <w:spacing w:val="-3"/>
        </w:rPr>
        <w:t>the </w:t>
      </w:r>
      <w:r>
        <w:rPr>
          <w:spacing w:val="-4"/>
        </w:rPr>
        <w:t>elimination during 2016 </w:t>
      </w:r>
      <w:r>
        <w:rPr/>
        <w:t>of </w:t>
      </w:r>
      <w:r>
        <w:rPr>
          <w:spacing w:val="-4"/>
        </w:rPr>
        <w:t>three balances outstanding from </w:t>
      </w:r>
      <w:r>
        <w:rPr>
          <w:spacing w:val="-3"/>
        </w:rPr>
        <w:t>2015 </w:t>
      </w:r>
      <w:r>
        <w:rPr>
          <w:spacing w:val="-4"/>
        </w:rPr>
        <w:t>totalling €32k </w:t>
      </w:r>
      <w:r>
        <w:rPr/>
        <w:t>as a </w:t>
      </w:r>
      <w:r>
        <w:rPr>
          <w:spacing w:val="-3"/>
        </w:rPr>
        <w:t>result </w:t>
      </w:r>
      <w:r>
        <w:rPr/>
        <w:t>of </w:t>
      </w:r>
      <w:r>
        <w:rPr>
          <w:spacing w:val="-3"/>
        </w:rPr>
        <w:t>the </w:t>
      </w:r>
      <w:r>
        <w:rPr>
          <w:spacing w:val="-4"/>
        </w:rPr>
        <w:t>transfer </w:t>
      </w:r>
      <w:r>
        <w:rPr>
          <w:spacing w:val="-3"/>
        </w:rPr>
        <w:t>of </w:t>
      </w:r>
      <w:r>
        <w:rPr>
          <w:spacing w:val="-4"/>
        </w:rPr>
        <w:t>mortgagees </w:t>
      </w:r>
      <w:r>
        <w:rPr>
          <w:spacing w:val="-3"/>
        </w:rPr>
        <w:t>onto the </w:t>
      </w:r>
      <w:r>
        <w:rPr>
          <w:spacing w:val="-4"/>
        </w:rPr>
        <w:t>mortgage </w:t>
      </w:r>
      <w:r>
        <w:rPr/>
        <w:t>to </w:t>
      </w:r>
      <w:r>
        <w:rPr>
          <w:spacing w:val="-3"/>
        </w:rPr>
        <w:t>rent </w:t>
      </w:r>
      <w:r>
        <w:rPr>
          <w:spacing w:val="-4"/>
        </w:rPr>
        <w:t>facility. Similarly </w:t>
      </w:r>
      <w:r>
        <w:rPr>
          <w:spacing w:val="-3"/>
        </w:rPr>
        <w:t>to </w:t>
      </w:r>
      <w:r>
        <w:rPr>
          <w:spacing w:val="-4"/>
        </w:rPr>
        <w:t>rents </w:t>
      </w:r>
      <w:r>
        <w:rPr>
          <w:spacing w:val="-3"/>
        </w:rPr>
        <w:t>above, </w:t>
      </w:r>
      <w:r>
        <w:rPr/>
        <w:t>a </w:t>
      </w:r>
      <w:r>
        <w:rPr>
          <w:spacing w:val="-3"/>
        </w:rPr>
        <w:t>review of </w:t>
      </w:r>
      <w:r>
        <w:rPr/>
        <w:t>a </w:t>
      </w:r>
      <w:r>
        <w:rPr>
          <w:spacing w:val="-3"/>
        </w:rPr>
        <w:t>sample </w:t>
      </w:r>
      <w:r>
        <w:rPr/>
        <w:t>of </w:t>
      </w:r>
      <w:r>
        <w:rPr>
          <w:spacing w:val="-4"/>
        </w:rPr>
        <w:t>accounts indicated </w:t>
      </w:r>
      <w:r>
        <w:rPr>
          <w:spacing w:val="-3"/>
        </w:rPr>
        <w:t>that there are cases </w:t>
      </w:r>
      <w:r>
        <w:rPr>
          <w:spacing w:val="-4"/>
        </w:rPr>
        <w:t>where mortgage payments received </w:t>
      </w:r>
      <w:r>
        <w:rPr/>
        <w:t>are </w:t>
      </w:r>
      <w:r>
        <w:rPr>
          <w:spacing w:val="-4"/>
        </w:rPr>
        <w:t>insufficient </w:t>
      </w:r>
      <w:r>
        <w:rPr>
          <w:spacing w:val="-3"/>
        </w:rPr>
        <w:t>to cover the monthly </w:t>
      </w:r>
      <w:r>
        <w:rPr>
          <w:spacing w:val="-4"/>
        </w:rPr>
        <w:t>loan instalment. </w:t>
      </w:r>
      <w:r>
        <w:rPr>
          <w:spacing w:val="-3"/>
        </w:rPr>
        <w:t>The </w:t>
      </w:r>
      <w:r>
        <w:rPr>
          <w:spacing w:val="-4"/>
        </w:rPr>
        <w:t>Council </w:t>
      </w:r>
      <w:r>
        <w:rPr>
          <w:spacing w:val="-3"/>
        </w:rPr>
        <w:t>is </w:t>
      </w:r>
      <w:r>
        <w:rPr>
          <w:spacing w:val="-4"/>
        </w:rPr>
        <w:t>continuing </w:t>
      </w:r>
      <w:r>
        <w:rPr>
          <w:spacing w:val="-3"/>
        </w:rPr>
        <w:t>to </w:t>
      </w:r>
      <w:r>
        <w:rPr>
          <w:spacing w:val="-4"/>
        </w:rPr>
        <w:t>engage </w:t>
      </w:r>
      <w:r>
        <w:rPr>
          <w:spacing w:val="-3"/>
        </w:rPr>
        <w:t>with </w:t>
      </w:r>
      <w:r>
        <w:rPr>
          <w:spacing w:val="-4"/>
        </w:rPr>
        <w:t>mortgagees </w:t>
      </w:r>
      <w:r>
        <w:rPr>
          <w:spacing w:val="-3"/>
        </w:rPr>
        <w:t>with </w:t>
      </w:r>
      <w:r>
        <w:rPr/>
        <w:t>a </w:t>
      </w:r>
      <w:r>
        <w:rPr>
          <w:spacing w:val="-3"/>
        </w:rPr>
        <w:t>view to </w:t>
      </w:r>
      <w:r>
        <w:rPr>
          <w:spacing w:val="-4"/>
        </w:rPr>
        <w:t>reducing </w:t>
      </w:r>
      <w:r>
        <w:rPr>
          <w:spacing w:val="-3"/>
        </w:rPr>
        <w:t>the </w:t>
      </w:r>
      <w:r>
        <w:rPr>
          <w:spacing w:val="-4"/>
        </w:rPr>
        <w:t>level </w:t>
      </w:r>
      <w:r>
        <w:rPr/>
        <w:t>of </w:t>
      </w:r>
      <w:r>
        <w:rPr>
          <w:spacing w:val="-4"/>
        </w:rPr>
        <w:t>arrears</w:t>
      </w:r>
      <w:r>
        <w:rPr>
          <w:b/>
          <w:spacing w:val="-4"/>
        </w:rPr>
        <w:t>.</w:t>
      </w:r>
    </w:p>
    <w:p>
      <w:pPr>
        <w:pStyle w:val="BodyText"/>
        <w:spacing w:before="10"/>
        <w:rPr>
          <w:b/>
          <w:sz w:val="21"/>
        </w:rPr>
      </w:pPr>
    </w:p>
    <w:p>
      <w:pPr>
        <w:pStyle w:val="BodyText"/>
        <w:ind w:left="838" w:right="209"/>
      </w:pPr>
      <w:r>
        <w:rPr>
          <w:spacing w:val="-3"/>
        </w:rPr>
        <w:t>Loan </w:t>
      </w:r>
      <w:r>
        <w:rPr>
          <w:spacing w:val="-4"/>
        </w:rPr>
        <w:t>balance statements </w:t>
      </w:r>
      <w:r>
        <w:rPr>
          <w:spacing w:val="-3"/>
        </w:rPr>
        <w:t>are not issued </w:t>
      </w:r>
      <w:r>
        <w:rPr/>
        <w:t>to </w:t>
      </w:r>
      <w:r>
        <w:rPr>
          <w:spacing w:val="-4"/>
        </w:rPr>
        <w:t>mortgagees </w:t>
      </w:r>
      <w:r>
        <w:rPr>
          <w:spacing w:val="-3"/>
        </w:rPr>
        <w:t>on an </w:t>
      </w:r>
      <w:r>
        <w:rPr>
          <w:spacing w:val="-4"/>
        </w:rPr>
        <w:t>annual </w:t>
      </w:r>
      <w:r>
        <w:rPr>
          <w:spacing w:val="-3"/>
        </w:rPr>
        <w:t>basis. </w:t>
      </w:r>
      <w:r>
        <w:rPr/>
        <w:t>It </w:t>
      </w:r>
      <w:r>
        <w:rPr>
          <w:spacing w:val="-3"/>
        </w:rPr>
        <w:t>is </w:t>
      </w:r>
      <w:r>
        <w:rPr>
          <w:spacing w:val="-4"/>
        </w:rPr>
        <w:t>recommended </w:t>
      </w:r>
      <w:r>
        <w:rPr>
          <w:spacing w:val="-3"/>
        </w:rPr>
        <w:t>that such </w:t>
      </w:r>
      <w:r>
        <w:rPr>
          <w:spacing w:val="-4"/>
        </w:rPr>
        <w:t>statements </w:t>
      </w:r>
      <w:r>
        <w:rPr/>
        <w:t>be </w:t>
      </w:r>
      <w:r>
        <w:rPr>
          <w:spacing w:val="-4"/>
        </w:rPr>
        <w:t>issued.</w:t>
      </w:r>
    </w:p>
    <w:p>
      <w:pPr>
        <w:pStyle w:val="BodyText"/>
        <w:spacing w:before="1"/>
      </w:pPr>
    </w:p>
    <w:p>
      <w:pPr>
        <w:pStyle w:val="Heading2"/>
        <w:ind w:firstLine="0"/>
      </w:pPr>
      <w:r>
        <w:rPr/>
        <w:t>Chief Executive’s Response</w:t>
      </w:r>
    </w:p>
    <w:p>
      <w:pPr>
        <w:pStyle w:val="BodyText"/>
        <w:spacing w:before="10"/>
        <w:rPr>
          <w:b/>
          <w:sz w:val="21"/>
        </w:rPr>
      </w:pPr>
    </w:p>
    <w:p>
      <w:pPr>
        <w:pStyle w:val="BodyText"/>
        <w:ind w:left="838"/>
      </w:pPr>
      <w:r>
        <w:rPr/>
        <w:t>The </w:t>
      </w:r>
      <w:r>
        <w:rPr>
          <w:spacing w:val="-4"/>
        </w:rPr>
        <w:t>Council continues </w:t>
      </w:r>
      <w:r>
        <w:rPr>
          <w:spacing w:val="-3"/>
        </w:rPr>
        <w:t>to </w:t>
      </w:r>
      <w:r>
        <w:rPr>
          <w:spacing w:val="-4"/>
        </w:rPr>
        <w:t>monitor all housing loan arrears. Loan statements will </w:t>
      </w:r>
      <w:r>
        <w:rPr>
          <w:spacing w:val="-3"/>
        </w:rPr>
        <w:t>be issued </w:t>
      </w:r>
      <w:r>
        <w:rPr/>
        <w:t>on an </w:t>
      </w:r>
      <w:r>
        <w:rPr>
          <w:spacing w:val="-4"/>
        </w:rPr>
        <w:t>annual </w:t>
      </w:r>
      <w:r>
        <w:rPr>
          <w:spacing w:val="-3"/>
        </w:rPr>
        <w:t>basis </w:t>
      </w:r>
      <w:r>
        <w:rPr>
          <w:spacing w:val="-4"/>
        </w:rPr>
        <w:t>commencing period ending </w:t>
      </w:r>
      <w:r>
        <w:rPr>
          <w:spacing w:val="-3"/>
        </w:rPr>
        <w:t>31 </w:t>
      </w:r>
      <w:r>
        <w:rPr>
          <w:spacing w:val="-4"/>
        </w:rPr>
        <w:t>December 2017.</w:t>
      </w:r>
    </w:p>
    <w:p>
      <w:pPr>
        <w:pStyle w:val="BodyText"/>
        <w:spacing w:before="1"/>
      </w:pPr>
    </w:p>
    <w:p>
      <w:pPr>
        <w:pStyle w:val="Heading2"/>
        <w:numPr>
          <w:ilvl w:val="0"/>
          <w:numId w:val="3"/>
        </w:numPr>
        <w:tabs>
          <w:tab w:pos="837" w:val="left" w:leader="none"/>
          <w:tab w:pos="838" w:val="left" w:leader="none"/>
        </w:tabs>
        <w:spacing w:line="240" w:lineRule="auto" w:before="0" w:after="0"/>
        <w:ind w:left="838" w:right="0" w:hanging="720"/>
        <w:jc w:val="left"/>
      </w:pPr>
      <w:r>
        <w:rPr>
          <w:spacing w:val="-4"/>
        </w:rPr>
        <w:t>Adjustments </w:t>
      </w:r>
      <w:r>
        <w:rPr/>
        <w:t>to </w:t>
      </w:r>
      <w:r>
        <w:rPr>
          <w:spacing w:val="-3"/>
        </w:rPr>
        <w:t>the</w:t>
      </w:r>
      <w:r>
        <w:rPr>
          <w:spacing w:val="-1"/>
        </w:rPr>
        <w:t> </w:t>
      </w:r>
      <w:r>
        <w:rPr>
          <w:spacing w:val="-4"/>
        </w:rPr>
        <w:t>Accounts</w:t>
      </w:r>
    </w:p>
    <w:p>
      <w:pPr>
        <w:pStyle w:val="BodyText"/>
        <w:rPr>
          <w:b/>
          <w:sz w:val="24"/>
        </w:rPr>
      </w:pPr>
    </w:p>
    <w:p>
      <w:pPr>
        <w:pStyle w:val="BodyText"/>
        <w:ind w:left="838"/>
      </w:pPr>
      <w:r>
        <w:rPr/>
        <w:t>I identified the following adjustments to the accounts:</w:t>
      </w:r>
    </w:p>
    <w:p>
      <w:pPr>
        <w:pStyle w:val="BodyText"/>
        <w:spacing w:before="9"/>
        <w:rPr>
          <w:sz w:val="24"/>
        </w:rPr>
      </w:pPr>
    </w:p>
    <w:p>
      <w:pPr>
        <w:pStyle w:val="ListParagraph"/>
        <w:numPr>
          <w:ilvl w:val="0"/>
          <w:numId w:val="4"/>
        </w:numPr>
        <w:tabs>
          <w:tab w:pos="1557" w:val="left" w:leader="none"/>
          <w:tab w:pos="1558" w:val="left" w:leader="none"/>
        </w:tabs>
        <w:spacing w:line="223" w:lineRule="auto" w:before="0" w:after="0"/>
        <w:ind w:left="1558" w:right="161" w:hanging="360"/>
        <w:jc w:val="left"/>
        <w:rPr>
          <w:sz w:val="22"/>
        </w:rPr>
      </w:pPr>
      <w:r>
        <w:rPr>
          <w:spacing w:val="-4"/>
          <w:sz w:val="22"/>
        </w:rPr>
        <w:t>Capital </w:t>
      </w:r>
      <w:r>
        <w:rPr>
          <w:spacing w:val="-3"/>
          <w:sz w:val="22"/>
        </w:rPr>
        <w:t>income </w:t>
      </w:r>
      <w:r>
        <w:rPr>
          <w:spacing w:val="-4"/>
          <w:sz w:val="22"/>
        </w:rPr>
        <w:t>amounting </w:t>
      </w:r>
      <w:r>
        <w:rPr>
          <w:spacing w:val="-3"/>
          <w:sz w:val="22"/>
        </w:rPr>
        <w:t>to </w:t>
      </w:r>
      <w:r>
        <w:rPr>
          <w:spacing w:val="-4"/>
          <w:sz w:val="22"/>
        </w:rPr>
        <w:t>€728k pertaining </w:t>
      </w:r>
      <w:r>
        <w:rPr>
          <w:sz w:val="22"/>
        </w:rPr>
        <w:t>to </w:t>
      </w:r>
      <w:r>
        <w:rPr>
          <w:spacing w:val="-4"/>
          <w:sz w:val="22"/>
        </w:rPr>
        <w:t>various projects </w:t>
      </w:r>
      <w:r>
        <w:rPr>
          <w:spacing w:val="-3"/>
          <w:sz w:val="22"/>
        </w:rPr>
        <w:t>was not </w:t>
      </w:r>
      <w:r>
        <w:rPr>
          <w:spacing w:val="-4"/>
          <w:sz w:val="22"/>
        </w:rPr>
        <w:t>deferred </w:t>
      </w:r>
      <w:r>
        <w:rPr>
          <w:sz w:val="22"/>
        </w:rPr>
        <w:t>at </w:t>
      </w:r>
      <w:r>
        <w:rPr>
          <w:spacing w:val="-3"/>
          <w:sz w:val="22"/>
        </w:rPr>
        <w:t>the </w:t>
      </w:r>
      <w:r>
        <w:rPr>
          <w:sz w:val="22"/>
        </w:rPr>
        <w:t>end of </w:t>
      </w:r>
      <w:r>
        <w:rPr>
          <w:spacing w:val="-4"/>
          <w:sz w:val="22"/>
        </w:rPr>
        <w:t>2016. </w:t>
      </w:r>
      <w:r>
        <w:rPr>
          <w:spacing w:val="-3"/>
          <w:sz w:val="22"/>
        </w:rPr>
        <w:t>This has </w:t>
      </w:r>
      <w:r>
        <w:rPr>
          <w:sz w:val="22"/>
        </w:rPr>
        <w:t>no </w:t>
      </w:r>
      <w:r>
        <w:rPr>
          <w:spacing w:val="-4"/>
          <w:sz w:val="22"/>
        </w:rPr>
        <w:t>impact </w:t>
      </w:r>
      <w:r>
        <w:rPr>
          <w:spacing w:val="-3"/>
          <w:sz w:val="22"/>
        </w:rPr>
        <w:t>on the </w:t>
      </w:r>
      <w:r>
        <w:rPr>
          <w:spacing w:val="-4"/>
          <w:sz w:val="22"/>
        </w:rPr>
        <w:t>revenue</w:t>
      </w:r>
      <w:r>
        <w:rPr>
          <w:spacing w:val="-20"/>
          <w:sz w:val="22"/>
        </w:rPr>
        <w:t> </w:t>
      </w:r>
      <w:r>
        <w:rPr>
          <w:spacing w:val="-4"/>
          <w:sz w:val="22"/>
        </w:rPr>
        <w:t>account</w:t>
      </w:r>
    </w:p>
    <w:p>
      <w:pPr>
        <w:spacing w:after="0" w:line="223" w:lineRule="auto"/>
        <w:jc w:val="left"/>
        <w:rPr>
          <w:sz w:val="22"/>
        </w:rPr>
        <w:sectPr>
          <w:pgSz w:w="11910" w:h="16840"/>
          <w:pgMar w:header="0" w:footer="447" w:top="1320" w:bottom="640" w:left="1680" w:right="1680"/>
        </w:sectPr>
      </w:pPr>
    </w:p>
    <w:p>
      <w:pPr>
        <w:pStyle w:val="ListParagraph"/>
        <w:numPr>
          <w:ilvl w:val="0"/>
          <w:numId w:val="4"/>
        </w:numPr>
        <w:tabs>
          <w:tab w:pos="1557" w:val="left" w:leader="none"/>
          <w:tab w:pos="1558" w:val="left" w:leader="none"/>
        </w:tabs>
        <w:spacing w:line="223" w:lineRule="auto" w:before="112" w:after="0"/>
        <w:ind w:left="1558" w:right="338" w:hanging="360"/>
        <w:jc w:val="left"/>
        <w:rPr>
          <w:sz w:val="22"/>
        </w:rPr>
      </w:pPr>
      <w:r>
        <w:rPr>
          <w:spacing w:val="-3"/>
          <w:sz w:val="22"/>
        </w:rPr>
        <w:t>Land </w:t>
      </w:r>
      <w:r>
        <w:rPr>
          <w:sz w:val="22"/>
        </w:rPr>
        <w:t>is </w:t>
      </w:r>
      <w:r>
        <w:rPr>
          <w:spacing w:val="-4"/>
          <w:sz w:val="22"/>
        </w:rPr>
        <w:t>overstated </w:t>
      </w:r>
      <w:r>
        <w:rPr>
          <w:spacing w:val="-3"/>
          <w:sz w:val="22"/>
        </w:rPr>
        <w:t>by </w:t>
      </w:r>
      <w:r>
        <w:rPr>
          <w:spacing w:val="-4"/>
          <w:sz w:val="22"/>
        </w:rPr>
        <w:t>€377k </w:t>
      </w:r>
      <w:r>
        <w:rPr>
          <w:spacing w:val="-3"/>
          <w:sz w:val="22"/>
        </w:rPr>
        <w:t>due to the </w:t>
      </w:r>
      <w:r>
        <w:rPr>
          <w:spacing w:val="-4"/>
          <w:sz w:val="22"/>
        </w:rPr>
        <w:t>duplication </w:t>
      </w:r>
      <w:r>
        <w:rPr>
          <w:sz w:val="22"/>
        </w:rPr>
        <w:t>of an </w:t>
      </w:r>
      <w:r>
        <w:rPr>
          <w:spacing w:val="-3"/>
          <w:sz w:val="22"/>
        </w:rPr>
        <w:t>asset. This is </w:t>
      </w:r>
      <w:r>
        <w:rPr>
          <w:sz w:val="22"/>
        </w:rPr>
        <w:t>a </w:t>
      </w:r>
      <w:r>
        <w:rPr>
          <w:spacing w:val="-4"/>
          <w:sz w:val="22"/>
        </w:rPr>
        <w:t>balance </w:t>
      </w:r>
      <w:r>
        <w:rPr>
          <w:spacing w:val="-3"/>
          <w:sz w:val="22"/>
        </w:rPr>
        <w:t>sheet item and </w:t>
      </w:r>
      <w:r>
        <w:rPr>
          <w:spacing w:val="-4"/>
          <w:sz w:val="22"/>
        </w:rPr>
        <w:t>has </w:t>
      </w:r>
      <w:r>
        <w:rPr>
          <w:spacing w:val="-3"/>
          <w:sz w:val="22"/>
        </w:rPr>
        <w:t>no impact </w:t>
      </w:r>
      <w:r>
        <w:rPr>
          <w:sz w:val="22"/>
        </w:rPr>
        <w:t>on </w:t>
      </w:r>
      <w:r>
        <w:rPr>
          <w:spacing w:val="-3"/>
          <w:sz w:val="22"/>
        </w:rPr>
        <w:t>the </w:t>
      </w:r>
      <w:r>
        <w:rPr>
          <w:spacing w:val="-4"/>
          <w:sz w:val="22"/>
        </w:rPr>
        <w:t>revenue </w:t>
      </w:r>
      <w:r>
        <w:rPr>
          <w:sz w:val="22"/>
        </w:rPr>
        <w:t>or </w:t>
      </w:r>
      <w:r>
        <w:rPr>
          <w:spacing w:val="-4"/>
          <w:sz w:val="22"/>
        </w:rPr>
        <w:t>capital</w:t>
      </w:r>
      <w:r>
        <w:rPr>
          <w:spacing w:val="-12"/>
          <w:sz w:val="22"/>
        </w:rPr>
        <w:t> </w:t>
      </w:r>
      <w:r>
        <w:rPr>
          <w:spacing w:val="-4"/>
          <w:sz w:val="22"/>
        </w:rPr>
        <w:t>account</w:t>
      </w:r>
    </w:p>
    <w:p>
      <w:pPr>
        <w:pStyle w:val="ListParagraph"/>
        <w:numPr>
          <w:ilvl w:val="0"/>
          <w:numId w:val="4"/>
        </w:numPr>
        <w:tabs>
          <w:tab w:pos="1557" w:val="left" w:leader="none"/>
          <w:tab w:pos="1558" w:val="left" w:leader="none"/>
        </w:tabs>
        <w:spacing w:line="232" w:lineRule="auto" w:before="53" w:after="0"/>
        <w:ind w:left="1558" w:right="310" w:hanging="360"/>
        <w:jc w:val="left"/>
        <w:rPr>
          <w:sz w:val="22"/>
        </w:rPr>
      </w:pPr>
      <w:r>
        <w:rPr>
          <w:sz w:val="22"/>
        </w:rPr>
        <w:t>A </w:t>
      </w:r>
      <w:r>
        <w:rPr>
          <w:spacing w:val="-3"/>
          <w:sz w:val="22"/>
        </w:rPr>
        <w:t>long term </w:t>
      </w:r>
      <w:r>
        <w:rPr>
          <w:spacing w:val="-4"/>
          <w:sz w:val="22"/>
        </w:rPr>
        <w:t>debtor </w:t>
      </w:r>
      <w:r>
        <w:rPr>
          <w:spacing w:val="-3"/>
          <w:sz w:val="22"/>
        </w:rPr>
        <w:t>(with </w:t>
      </w:r>
      <w:r>
        <w:rPr>
          <w:spacing w:val="-4"/>
          <w:sz w:val="22"/>
        </w:rPr>
        <w:t>corresponding creditor) </w:t>
      </w:r>
      <w:r>
        <w:rPr>
          <w:sz w:val="22"/>
        </w:rPr>
        <w:t>for </w:t>
      </w:r>
      <w:r>
        <w:rPr>
          <w:spacing w:val="-4"/>
          <w:sz w:val="22"/>
        </w:rPr>
        <w:t>€689k </w:t>
      </w:r>
      <w:r>
        <w:rPr>
          <w:spacing w:val="-3"/>
          <w:sz w:val="22"/>
        </w:rPr>
        <w:t>has </w:t>
      </w:r>
      <w:r>
        <w:rPr>
          <w:sz w:val="22"/>
        </w:rPr>
        <w:t>not </w:t>
      </w:r>
      <w:r>
        <w:rPr>
          <w:spacing w:val="-3"/>
          <w:sz w:val="22"/>
        </w:rPr>
        <w:t>been </w:t>
      </w:r>
      <w:r>
        <w:rPr>
          <w:spacing w:val="-4"/>
          <w:sz w:val="22"/>
        </w:rPr>
        <w:t>included </w:t>
      </w:r>
      <w:r>
        <w:rPr>
          <w:sz w:val="22"/>
        </w:rPr>
        <w:t>in </w:t>
      </w:r>
      <w:r>
        <w:rPr>
          <w:spacing w:val="-3"/>
          <w:sz w:val="22"/>
        </w:rPr>
        <w:t>the </w:t>
      </w:r>
      <w:r>
        <w:rPr>
          <w:spacing w:val="-4"/>
          <w:sz w:val="22"/>
        </w:rPr>
        <w:t>accounts </w:t>
      </w:r>
      <w:r>
        <w:rPr>
          <w:sz w:val="22"/>
        </w:rPr>
        <w:t>at </w:t>
      </w:r>
      <w:r>
        <w:rPr>
          <w:spacing w:val="-3"/>
          <w:sz w:val="22"/>
        </w:rPr>
        <w:t>the </w:t>
      </w:r>
      <w:r>
        <w:rPr>
          <w:sz w:val="22"/>
        </w:rPr>
        <w:t>end </w:t>
      </w:r>
      <w:r>
        <w:rPr>
          <w:spacing w:val="-3"/>
          <w:sz w:val="22"/>
        </w:rPr>
        <w:t>of </w:t>
      </w:r>
      <w:r>
        <w:rPr>
          <w:spacing w:val="-4"/>
          <w:sz w:val="22"/>
        </w:rPr>
        <w:t>2016 </w:t>
      </w:r>
      <w:r>
        <w:rPr>
          <w:sz w:val="22"/>
        </w:rPr>
        <w:t>in </w:t>
      </w:r>
      <w:r>
        <w:rPr>
          <w:spacing w:val="-4"/>
          <w:sz w:val="22"/>
        </w:rPr>
        <w:t>respect </w:t>
      </w:r>
      <w:r>
        <w:rPr>
          <w:sz w:val="22"/>
        </w:rPr>
        <w:t>of </w:t>
      </w:r>
      <w:r>
        <w:rPr>
          <w:spacing w:val="-4"/>
          <w:sz w:val="22"/>
        </w:rPr>
        <w:t>capital asset leasing facilities provided </w:t>
      </w:r>
      <w:r>
        <w:rPr>
          <w:spacing w:val="-3"/>
          <w:sz w:val="22"/>
        </w:rPr>
        <w:t>to </w:t>
      </w:r>
      <w:r>
        <w:rPr>
          <w:spacing w:val="-4"/>
          <w:sz w:val="22"/>
        </w:rPr>
        <w:t>approved housing bodies. </w:t>
      </w:r>
      <w:r>
        <w:rPr>
          <w:spacing w:val="-3"/>
          <w:sz w:val="22"/>
        </w:rPr>
        <w:t>This is </w:t>
      </w:r>
      <w:r>
        <w:rPr>
          <w:sz w:val="22"/>
        </w:rPr>
        <w:t>a </w:t>
      </w:r>
      <w:r>
        <w:rPr>
          <w:spacing w:val="-4"/>
          <w:sz w:val="22"/>
        </w:rPr>
        <w:t>balance sheet </w:t>
      </w:r>
      <w:r>
        <w:rPr>
          <w:spacing w:val="-3"/>
          <w:sz w:val="22"/>
        </w:rPr>
        <w:t>item and has </w:t>
      </w:r>
      <w:r>
        <w:rPr>
          <w:sz w:val="22"/>
        </w:rPr>
        <w:t>no </w:t>
      </w:r>
      <w:r>
        <w:rPr>
          <w:spacing w:val="-3"/>
          <w:sz w:val="22"/>
        </w:rPr>
        <w:t>impact on the </w:t>
      </w:r>
      <w:r>
        <w:rPr>
          <w:spacing w:val="-4"/>
          <w:sz w:val="22"/>
        </w:rPr>
        <w:t>revenue </w:t>
      </w:r>
      <w:r>
        <w:rPr>
          <w:sz w:val="22"/>
        </w:rPr>
        <w:t>or </w:t>
      </w:r>
      <w:r>
        <w:rPr>
          <w:spacing w:val="-4"/>
          <w:sz w:val="22"/>
        </w:rPr>
        <w:t>capital</w:t>
      </w:r>
      <w:r>
        <w:rPr>
          <w:spacing w:val="1"/>
          <w:sz w:val="22"/>
        </w:rPr>
        <w:t> </w:t>
      </w:r>
      <w:r>
        <w:rPr>
          <w:spacing w:val="-4"/>
          <w:sz w:val="22"/>
        </w:rPr>
        <w:t>account</w:t>
      </w:r>
    </w:p>
    <w:p>
      <w:pPr>
        <w:pStyle w:val="ListParagraph"/>
        <w:numPr>
          <w:ilvl w:val="0"/>
          <w:numId w:val="4"/>
        </w:numPr>
        <w:tabs>
          <w:tab w:pos="1557" w:val="left" w:leader="none"/>
          <w:tab w:pos="1558" w:val="left" w:leader="none"/>
        </w:tabs>
        <w:spacing w:line="223" w:lineRule="auto" w:before="64" w:after="0"/>
        <w:ind w:left="1558" w:right="115" w:hanging="360"/>
        <w:jc w:val="left"/>
        <w:rPr>
          <w:sz w:val="22"/>
        </w:rPr>
      </w:pPr>
      <w:r>
        <w:rPr>
          <w:sz w:val="22"/>
        </w:rPr>
        <w:t>A </w:t>
      </w:r>
      <w:r>
        <w:rPr>
          <w:spacing w:val="-3"/>
          <w:sz w:val="22"/>
        </w:rPr>
        <w:t>sum </w:t>
      </w:r>
      <w:r>
        <w:rPr>
          <w:sz w:val="22"/>
        </w:rPr>
        <w:t>of </w:t>
      </w:r>
      <w:r>
        <w:rPr>
          <w:spacing w:val="-4"/>
          <w:sz w:val="22"/>
        </w:rPr>
        <w:t>€99.6k </w:t>
      </w:r>
      <w:r>
        <w:rPr>
          <w:spacing w:val="-3"/>
          <w:sz w:val="22"/>
        </w:rPr>
        <w:t>in </w:t>
      </w:r>
      <w:r>
        <w:rPr>
          <w:spacing w:val="-4"/>
          <w:sz w:val="22"/>
        </w:rPr>
        <w:t>respect </w:t>
      </w:r>
      <w:r>
        <w:rPr>
          <w:sz w:val="22"/>
        </w:rPr>
        <w:t>of </w:t>
      </w:r>
      <w:r>
        <w:rPr>
          <w:spacing w:val="-4"/>
          <w:sz w:val="22"/>
        </w:rPr>
        <w:t>development contributions pertaining </w:t>
      </w:r>
      <w:r>
        <w:rPr>
          <w:sz w:val="22"/>
        </w:rPr>
        <w:t>to </w:t>
      </w:r>
      <w:r>
        <w:rPr>
          <w:spacing w:val="-4"/>
          <w:sz w:val="22"/>
        </w:rPr>
        <w:t>Irish Water </w:t>
      </w:r>
      <w:r>
        <w:rPr>
          <w:spacing w:val="-3"/>
          <w:sz w:val="22"/>
        </w:rPr>
        <w:t>was not accrued in the </w:t>
      </w:r>
      <w:r>
        <w:rPr>
          <w:spacing w:val="-4"/>
          <w:sz w:val="22"/>
        </w:rPr>
        <w:t>accounts </w:t>
      </w:r>
      <w:r>
        <w:rPr>
          <w:spacing w:val="-3"/>
          <w:sz w:val="22"/>
        </w:rPr>
        <w:t>as </w:t>
      </w:r>
      <w:r>
        <w:rPr>
          <w:sz w:val="22"/>
        </w:rPr>
        <w:t>an </w:t>
      </w:r>
      <w:r>
        <w:rPr>
          <w:spacing w:val="-4"/>
          <w:sz w:val="22"/>
        </w:rPr>
        <w:t>expense. This </w:t>
      </w:r>
      <w:r>
        <w:rPr>
          <w:spacing w:val="-3"/>
          <w:sz w:val="22"/>
        </w:rPr>
        <w:t>has no impact </w:t>
      </w:r>
      <w:r>
        <w:rPr>
          <w:sz w:val="22"/>
        </w:rPr>
        <w:t>on </w:t>
      </w:r>
      <w:r>
        <w:rPr>
          <w:spacing w:val="-3"/>
          <w:sz w:val="22"/>
        </w:rPr>
        <w:t>the </w:t>
      </w:r>
      <w:r>
        <w:rPr>
          <w:spacing w:val="-4"/>
          <w:sz w:val="22"/>
        </w:rPr>
        <w:t>revenue</w:t>
      </w:r>
      <w:r>
        <w:rPr>
          <w:spacing w:val="-9"/>
          <w:sz w:val="22"/>
        </w:rPr>
        <w:t> </w:t>
      </w:r>
      <w:r>
        <w:rPr>
          <w:spacing w:val="-4"/>
          <w:sz w:val="22"/>
        </w:rPr>
        <w:t>account</w:t>
      </w:r>
    </w:p>
    <w:p>
      <w:pPr>
        <w:pStyle w:val="ListParagraph"/>
        <w:numPr>
          <w:ilvl w:val="0"/>
          <w:numId w:val="4"/>
        </w:numPr>
        <w:tabs>
          <w:tab w:pos="1557" w:val="left" w:leader="none"/>
          <w:tab w:pos="1558" w:val="left" w:leader="none"/>
        </w:tabs>
        <w:spacing w:line="232" w:lineRule="auto" w:before="51" w:after="0"/>
        <w:ind w:left="1558" w:right="137" w:hanging="360"/>
        <w:jc w:val="left"/>
        <w:rPr>
          <w:sz w:val="22"/>
        </w:rPr>
      </w:pPr>
      <w:r>
        <w:rPr>
          <w:sz w:val="22"/>
        </w:rPr>
        <w:t>An </w:t>
      </w:r>
      <w:r>
        <w:rPr>
          <w:spacing w:val="-4"/>
          <w:sz w:val="22"/>
        </w:rPr>
        <w:t>amount </w:t>
      </w:r>
      <w:r>
        <w:rPr>
          <w:spacing w:val="-3"/>
          <w:sz w:val="22"/>
        </w:rPr>
        <w:t>of </w:t>
      </w:r>
      <w:r>
        <w:rPr>
          <w:spacing w:val="-4"/>
          <w:sz w:val="22"/>
        </w:rPr>
        <w:t>€153.5k relating </w:t>
      </w:r>
      <w:r>
        <w:rPr>
          <w:spacing w:val="-3"/>
          <w:sz w:val="22"/>
        </w:rPr>
        <w:t>to an </w:t>
      </w:r>
      <w:r>
        <w:rPr>
          <w:spacing w:val="-4"/>
          <w:sz w:val="22"/>
        </w:rPr>
        <w:t>amount </w:t>
      </w:r>
      <w:r>
        <w:rPr>
          <w:sz w:val="22"/>
        </w:rPr>
        <w:t>due </w:t>
      </w:r>
      <w:r>
        <w:rPr>
          <w:spacing w:val="-3"/>
          <w:sz w:val="22"/>
        </w:rPr>
        <w:t>to the </w:t>
      </w:r>
      <w:r>
        <w:rPr>
          <w:spacing w:val="-4"/>
          <w:sz w:val="22"/>
        </w:rPr>
        <w:t>Department </w:t>
      </w:r>
      <w:r>
        <w:rPr>
          <w:sz w:val="22"/>
        </w:rPr>
        <w:t>in </w:t>
      </w:r>
      <w:r>
        <w:rPr>
          <w:spacing w:val="-4"/>
          <w:sz w:val="22"/>
        </w:rPr>
        <w:t>respect </w:t>
      </w:r>
      <w:r>
        <w:rPr>
          <w:sz w:val="22"/>
        </w:rPr>
        <w:t>of the </w:t>
      </w:r>
      <w:r>
        <w:rPr>
          <w:spacing w:val="-4"/>
          <w:sz w:val="22"/>
        </w:rPr>
        <w:t>recoupment </w:t>
      </w:r>
      <w:r>
        <w:rPr>
          <w:spacing w:val="-3"/>
          <w:sz w:val="22"/>
        </w:rPr>
        <w:t>of water </w:t>
      </w:r>
      <w:r>
        <w:rPr>
          <w:spacing w:val="-4"/>
          <w:sz w:val="22"/>
        </w:rPr>
        <w:t>service loans </w:t>
      </w:r>
      <w:r>
        <w:rPr>
          <w:spacing w:val="-3"/>
          <w:sz w:val="22"/>
        </w:rPr>
        <w:t>was not </w:t>
      </w:r>
      <w:r>
        <w:rPr>
          <w:spacing w:val="-4"/>
          <w:sz w:val="22"/>
        </w:rPr>
        <w:t>accrued </w:t>
      </w:r>
      <w:r>
        <w:rPr>
          <w:spacing w:val="-3"/>
          <w:sz w:val="22"/>
        </w:rPr>
        <w:t>as an </w:t>
      </w:r>
      <w:r>
        <w:rPr>
          <w:spacing w:val="-4"/>
          <w:sz w:val="22"/>
        </w:rPr>
        <w:t>expense, affecting </w:t>
      </w:r>
      <w:r>
        <w:rPr>
          <w:spacing w:val="-3"/>
          <w:sz w:val="22"/>
        </w:rPr>
        <w:t>the </w:t>
      </w:r>
      <w:r>
        <w:rPr>
          <w:spacing w:val="-4"/>
          <w:sz w:val="22"/>
        </w:rPr>
        <w:t>balance </w:t>
      </w:r>
      <w:r>
        <w:rPr>
          <w:sz w:val="22"/>
        </w:rPr>
        <w:t>on the </w:t>
      </w:r>
      <w:r>
        <w:rPr>
          <w:spacing w:val="-4"/>
          <w:sz w:val="22"/>
        </w:rPr>
        <w:t>capital</w:t>
      </w:r>
      <w:r>
        <w:rPr>
          <w:spacing w:val="-15"/>
          <w:sz w:val="22"/>
        </w:rPr>
        <w:t> </w:t>
      </w:r>
      <w:r>
        <w:rPr>
          <w:spacing w:val="-4"/>
          <w:sz w:val="22"/>
        </w:rPr>
        <w:t>account</w:t>
      </w:r>
    </w:p>
    <w:p>
      <w:pPr>
        <w:pStyle w:val="ListParagraph"/>
        <w:numPr>
          <w:ilvl w:val="0"/>
          <w:numId w:val="4"/>
        </w:numPr>
        <w:tabs>
          <w:tab w:pos="1557" w:val="left" w:leader="none"/>
          <w:tab w:pos="1558" w:val="left" w:leader="none"/>
        </w:tabs>
        <w:spacing w:line="232" w:lineRule="auto" w:before="51" w:after="0"/>
        <w:ind w:left="1558" w:right="435" w:hanging="360"/>
        <w:jc w:val="left"/>
        <w:rPr>
          <w:sz w:val="22"/>
        </w:rPr>
      </w:pPr>
      <w:r>
        <w:rPr>
          <w:spacing w:val="-4"/>
          <w:sz w:val="22"/>
        </w:rPr>
        <w:t>Transfers </w:t>
      </w:r>
      <w:r>
        <w:rPr>
          <w:spacing w:val="-3"/>
          <w:sz w:val="22"/>
        </w:rPr>
        <w:t>to </w:t>
      </w:r>
      <w:r>
        <w:rPr>
          <w:spacing w:val="-4"/>
          <w:sz w:val="22"/>
        </w:rPr>
        <w:t>reserves </w:t>
      </w:r>
      <w:r>
        <w:rPr>
          <w:sz w:val="22"/>
        </w:rPr>
        <w:t>of </w:t>
      </w:r>
      <w:r>
        <w:rPr>
          <w:spacing w:val="-4"/>
          <w:sz w:val="22"/>
        </w:rPr>
        <w:t>€1.769m which were approved </w:t>
      </w:r>
      <w:r>
        <w:rPr>
          <w:spacing w:val="-3"/>
          <w:sz w:val="22"/>
        </w:rPr>
        <w:t>by the </w:t>
      </w:r>
      <w:r>
        <w:rPr>
          <w:spacing w:val="-4"/>
          <w:sz w:val="22"/>
        </w:rPr>
        <w:t>members, </w:t>
      </w:r>
      <w:r>
        <w:rPr>
          <w:spacing w:val="-3"/>
          <w:sz w:val="22"/>
        </w:rPr>
        <w:t>were not </w:t>
      </w:r>
      <w:r>
        <w:rPr>
          <w:spacing w:val="-4"/>
          <w:sz w:val="22"/>
        </w:rPr>
        <w:t>apportioned </w:t>
      </w:r>
      <w:r>
        <w:rPr>
          <w:spacing w:val="-3"/>
          <w:sz w:val="22"/>
        </w:rPr>
        <w:t>to the </w:t>
      </w:r>
      <w:r>
        <w:rPr>
          <w:spacing w:val="-4"/>
          <w:sz w:val="22"/>
        </w:rPr>
        <w:t>relevant reserves </w:t>
      </w:r>
      <w:r>
        <w:rPr>
          <w:sz w:val="22"/>
        </w:rPr>
        <w:t>in </w:t>
      </w:r>
      <w:r>
        <w:rPr>
          <w:spacing w:val="-3"/>
          <w:sz w:val="22"/>
        </w:rPr>
        <w:t>the </w:t>
      </w:r>
      <w:r>
        <w:rPr>
          <w:spacing w:val="-4"/>
          <w:sz w:val="22"/>
        </w:rPr>
        <w:t>capital account. This </w:t>
      </w:r>
      <w:r>
        <w:rPr>
          <w:spacing w:val="-3"/>
          <w:sz w:val="22"/>
        </w:rPr>
        <w:t>has </w:t>
      </w:r>
      <w:r>
        <w:rPr>
          <w:sz w:val="22"/>
        </w:rPr>
        <w:t>no </w:t>
      </w:r>
      <w:r>
        <w:rPr>
          <w:spacing w:val="-4"/>
          <w:sz w:val="22"/>
        </w:rPr>
        <w:t>impact </w:t>
      </w:r>
      <w:r>
        <w:rPr>
          <w:spacing w:val="-3"/>
          <w:sz w:val="22"/>
        </w:rPr>
        <w:t>on the </w:t>
      </w:r>
      <w:r>
        <w:rPr>
          <w:spacing w:val="-4"/>
          <w:sz w:val="22"/>
        </w:rPr>
        <w:t>revenue</w:t>
      </w:r>
      <w:r>
        <w:rPr>
          <w:spacing w:val="7"/>
          <w:sz w:val="22"/>
        </w:rPr>
        <w:t> </w:t>
      </w:r>
      <w:r>
        <w:rPr>
          <w:spacing w:val="-4"/>
          <w:sz w:val="22"/>
        </w:rPr>
        <w:t>account</w:t>
      </w:r>
    </w:p>
    <w:p>
      <w:pPr>
        <w:pStyle w:val="ListParagraph"/>
        <w:numPr>
          <w:ilvl w:val="0"/>
          <w:numId w:val="4"/>
        </w:numPr>
        <w:tabs>
          <w:tab w:pos="1557" w:val="left" w:leader="none"/>
          <w:tab w:pos="1558" w:val="left" w:leader="none"/>
        </w:tabs>
        <w:spacing w:line="232" w:lineRule="auto" w:before="51" w:after="0"/>
        <w:ind w:left="1558" w:right="283" w:hanging="360"/>
        <w:jc w:val="left"/>
        <w:rPr>
          <w:sz w:val="22"/>
        </w:rPr>
      </w:pPr>
      <w:r>
        <w:rPr>
          <w:sz w:val="22"/>
        </w:rPr>
        <w:t>An amount of €241k in respect of legal costs was not accrued in the accounts. The effect of this adjustment would be to reduce the surplus on the revenue account and the capital account (reserves) by €46k and €195k</w:t>
      </w:r>
      <w:r>
        <w:rPr>
          <w:spacing w:val="-31"/>
          <w:sz w:val="22"/>
        </w:rPr>
        <w:t> </w:t>
      </w:r>
      <w:r>
        <w:rPr>
          <w:sz w:val="22"/>
        </w:rPr>
        <w:t>respectively</w:t>
      </w:r>
    </w:p>
    <w:p>
      <w:pPr>
        <w:pStyle w:val="ListParagraph"/>
        <w:numPr>
          <w:ilvl w:val="0"/>
          <w:numId w:val="4"/>
        </w:numPr>
        <w:tabs>
          <w:tab w:pos="1558" w:val="left" w:leader="none"/>
        </w:tabs>
        <w:spacing w:line="232" w:lineRule="auto" w:before="22" w:after="0"/>
        <w:ind w:left="1558" w:right="222" w:hanging="360"/>
        <w:jc w:val="both"/>
        <w:rPr>
          <w:sz w:val="22"/>
        </w:rPr>
      </w:pPr>
      <w:r>
        <w:rPr>
          <w:sz w:val="22"/>
        </w:rPr>
        <w:t>An amount of €12k of revenue expenditure proper to 2017 was incorrectly accrued </w:t>
      </w:r>
      <w:r>
        <w:rPr>
          <w:spacing w:val="-29"/>
          <w:sz w:val="22"/>
        </w:rPr>
        <w:t>in </w:t>
      </w:r>
      <w:r>
        <w:rPr>
          <w:sz w:val="22"/>
        </w:rPr>
        <w:t>the 2016 accounts. The effect of this adjustment would be to increase the surplus on the revenue account by this</w:t>
      </w:r>
      <w:r>
        <w:rPr>
          <w:spacing w:val="-18"/>
          <w:sz w:val="22"/>
        </w:rPr>
        <w:t> </w:t>
      </w:r>
      <w:r>
        <w:rPr>
          <w:sz w:val="22"/>
        </w:rPr>
        <w:t>amount</w:t>
      </w:r>
    </w:p>
    <w:p>
      <w:pPr>
        <w:pStyle w:val="ListParagraph"/>
        <w:numPr>
          <w:ilvl w:val="0"/>
          <w:numId w:val="4"/>
        </w:numPr>
        <w:tabs>
          <w:tab w:pos="1557" w:val="left" w:leader="none"/>
          <w:tab w:pos="1558" w:val="left" w:leader="none"/>
        </w:tabs>
        <w:spacing w:line="223" w:lineRule="auto" w:before="33" w:after="0"/>
        <w:ind w:left="1558" w:right="455" w:hanging="360"/>
        <w:jc w:val="left"/>
        <w:rPr>
          <w:sz w:val="22"/>
        </w:rPr>
      </w:pPr>
      <w:r>
        <w:rPr>
          <w:sz w:val="22"/>
        </w:rPr>
        <w:t>Capital expenditure of €175k pertaining to the bridge rehabilitation project was not accrued in the</w:t>
      </w:r>
      <w:r>
        <w:rPr>
          <w:spacing w:val="-10"/>
          <w:sz w:val="22"/>
        </w:rPr>
        <w:t> </w:t>
      </w:r>
      <w:r>
        <w:rPr>
          <w:sz w:val="22"/>
        </w:rPr>
        <w:t>accounts.</w:t>
      </w:r>
    </w:p>
    <w:p>
      <w:pPr>
        <w:pStyle w:val="BodyText"/>
        <w:spacing w:before="2"/>
      </w:pPr>
    </w:p>
    <w:p>
      <w:pPr>
        <w:pStyle w:val="BodyText"/>
        <w:ind w:left="838" w:right="149"/>
      </w:pPr>
      <w:r>
        <w:rPr/>
        <w:t>I </w:t>
      </w:r>
      <w:r>
        <w:rPr>
          <w:spacing w:val="-4"/>
        </w:rPr>
        <w:t>have directed </w:t>
      </w:r>
      <w:r>
        <w:rPr>
          <w:spacing w:val="-3"/>
        </w:rPr>
        <w:t>that the </w:t>
      </w:r>
      <w:r>
        <w:rPr>
          <w:spacing w:val="-4"/>
        </w:rPr>
        <w:t>above corrections </w:t>
      </w:r>
      <w:r>
        <w:rPr>
          <w:spacing w:val="-3"/>
        </w:rPr>
        <w:t>be </w:t>
      </w:r>
      <w:r>
        <w:rPr>
          <w:spacing w:val="-4"/>
        </w:rPr>
        <w:t>processed </w:t>
      </w:r>
      <w:r>
        <w:rPr>
          <w:spacing w:val="-3"/>
        </w:rPr>
        <w:t>in the 2017 </w:t>
      </w:r>
      <w:r>
        <w:rPr>
          <w:spacing w:val="-4"/>
        </w:rPr>
        <w:t>Accounts </w:t>
      </w:r>
      <w:r>
        <w:rPr/>
        <w:t>of </w:t>
      </w:r>
      <w:r>
        <w:rPr>
          <w:spacing w:val="-4"/>
        </w:rPr>
        <w:t>Cavan County Council </w:t>
      </w:r>
      <w:r>
        <w:rPr/>
        <w:t>in </w:t>
      </w:r>
      <w:r>
        <w:rPr>
          <w:spacing w:val="-4"/>
        </w:rPr>
        <w:t>accordance </w:t>
      </w:r>
      <w:r>
        <w:rPr>
          <w:spacing w:val="-3"/>
        </w:rPr>
        <w:t>with </w:t>
      </w:r>
      <w:r>
        <w:rPr>
          <w:spacing w:val="-4"/>
        </w:rPr>
        <w:t>Section </w:t>
      </w:r>
      <w:r>
        <w:rPr>
          <w:spacing w:val="-3"/>
        </w:rPr>
        <w:t>16(b) </w:t>
      </w:r>
      <w:r>
        <w:rPr/>
        <w:t>of </w:t>
      </w:r>
      <w:r>
        <w:rPr>
          <w:spacing w:val="-3"/>
        </w:rPr>
        <w:t>the </w:t>
      </w:r>
      <w:r>
        <w:rPr>
          <w:spacing w:val="-4"/>
        </w:rPr>
        <w:t>Local Government (Financial </w:t>
      </w:r>
      <w:r>
        <w:rPr>
          <w:spacing w:val="-3"/>
        </w:rPr>
        <w:t>and </w:t>
      </w:r>
      <w:r>
        <w:rPr>
          <w:spacing w:val="-4"/>
        </w:rPr>
        <w:t>Audit Procedures) Regulations 2014.</w:t>
      </w:r>
    </w:p>
    <w:p>
      <w:pPr>
        <w:pStyle w:val="BodyText"/>
        <w:spacing w:before="10"/>
        <w:rPr>
          <w:sz w:val="21"/>
        </w:rPr>
      </w:pPr>
    </w:p>
    <w:p>
      <w:pPr>
        <w:pStyle w:val="Heading2"/>
        <w:ind w:firstLine="0"/>
      </w:pPr>
      <w:r>
        <w:rPr/>
        <w:t>Chief Executive’s Response</w:t>
      </w:r>
    </w:p>
    <w:p>
      <w:pPr>
        <w:pStyle w:val="BodyText"/>
        <w:rPr>
          <w:b/>
        </w:rPr>
      </w:pPr>
    </w:p>
    <w:p>
      <w:pPr>
        <w:pStyle w:val="BodyText"/>
        <w:spacing w:before="1"/>
        <w:ind w:left="838" w:right="131"/>
      </w:pPr>
      <w:r>
        <w:rPr/>
        <w:t>The </w:t>
      </w:r>
      <w:r>
        <w:rPr>
          <w:spacing w:val="-3"/>
        </w:rPr>
        <w:t>non </w:t>
      </w:r>
      <w:r>
        <w:rPr>
          <w:spacing w:val="-4"/>
        </w:rPr>
        <w:t>deferral </w:t>
      </w:r>
      <w:r>
        <w:rPr/>
        <w:t>of </w:t>
      </w:r>
      <w:r>
        <w:rPr>
          <w:spacing w:val="-4"/>
        </w:rPr>
        <w:t>income </w:t>
      </w:r>
      <w:r>
        <w:rPr/>
        <w:t>in </w:t>
      </w:r>
      <w:r>
        <w:rPr>
          <w:spacing w:val="-3"/>
        </w:rPr>
        <w:t>2016 </w:t>
      </w:r>
      <w:r>
        <w:rPr>
          <w:spacing w:val="-4"/>
        </w:rPr>
        <w:t>resulted </w:t>
      </w:r>
      <w:r>
        <w:rPr>
          <w:spacing w:val="-3"/>
        </w:rPr>
        <w:t>in </w:t>
      </w:r>
      <w:r>
        <w:rPr/>
        <w:t>a </w:t>
      </w:r>
      <w:r>
        <w:rPr>
          <w:spacing w:val="-3"/>
        </w:rPr>
        <w:t>credit </w:t>
      </w:r>
      <w:r>
        <w:rPr>
          <w:spacing w:val="-4"/>
        </w:rPr>
        <w:t>balance </w:t>
      </w:r>
      <w:r>
        <w:rPr/>
        <w:t>on a </w:t>
      </w:r>
      <w:r>
        <w:rPr>
          <w:spacing w:val="-4"/>
        </w:rPr>
        <w:t>number </w:t>
      </w:r>
      <w:r>
        <w:rPr/>
        <w:t>of </w:t>
      </w:r>
      <w:r>
        <w:rPr>
          <w:spacing w:val="-4"/>
        </w:rPr>
        <w:t>projects included </w:t>
      </w:r>
      <w:r>
        <w:rPr/>
        <w:t>in the </w:t>
      </w:r>
      <w:r>
        <w:rPr>
          <w:spacing w:val="-4"/>
        </w:rPr>
        <w:t>capital account. </w:t>
      </w:r>
      <w:r>
        <w:rPr>
          <w:spacing w:val="-3"/>
        </w:rPr>
        <w:t>The </w:t>
      </w:r>
      <w:r>
        <w:rPr>
          <w:spacing w:val="-4"/>
        </w:rPr>
        <w:t>completeness </w:t>
      </w:r>
      <w:r>
        <w:rPr/>
        <w:t>of </w:t>
      </w:r>
      <w:r>
        <w:rPr>
          <w:spacing w:val="-4"/>
        </w:rPr>
        <w:t>deferred income adjustments </w:t>
      </w:r>
      <w:r>
        <w:rPr>
          <w:spacing w:val="-3"/>
        </w:rPr>
        <w:t>will be </w:t>
      </w:r>
      <w:r>
        <w:rPr>
          <w:spacing w:val="-4"/>
        </w:rPr>
        <w:t>examined </w:t>
      </w:r>
      <w:r>
        <w:rPr/>
        <w:t>at </w:t>
      </w:r>
      <w:r>
        <w:rPr>
          <w:spacing w:val="-3"/>
        </w:rPr>
        <w:t>the </w:t>
      </w:r>
      <w:r>
        <w:rPr/>
        <w:t>end</w:t>
      </w:r>
      <w:r>
        <w:rPr>
          <w:spacing w:val="-7"/>
        </w:rPr>
        <w:t> </w:t>
      </w:r>
      <w:r>
        <w:rPr/>
        <w:t>of </w:t>
      </w:r>
      <w:r>
        <w:rPr>
          <w:spacing w:val="-4"/>
        </w:rPr>
        <w:t>each financial </w:t>
      </w:r>
      <w:r>
        <w:rPr>
          <w:spacing w:val="-3"/>
        </w:rPr>
        <w:t>year </w:t>
      </w:r>
      <w:r>
        <w:rPr/>
        <w:t>in </w:t>
      </w:r>
      <w:r>
        <w:rPr>
          <w:spacing w:val="-3"/>
        </w:rPr>
        <w:t>future. The </w:t>
      </w:r>
      <w:r>
        <w:rPr>
          <w:spacing w:val="-4"/>
        </w:rPr>
        <w:t>accrual </w:t>
      </w:r>
      <w:r>
        <w:rPr/>
        <w:t>of </w:t>
      </w:r>
      <w:r>
        <w:rPr>
          <w:spacing w:val="-4"/>
        </w:rPr>
        <w:t>€241k </w:t>
      </w:r>
      <w:r>
        <w:rPr/>
        <w:t>in </w:t>
      </w:r>
      <w:r>
        <w:rPr>
          <w:spacing w:val="-4"/>
        </w:rPr>
        <w:t>respect </w:t>
      </w:r>
      <w:r>
        <w:rPr/>
        <w:t>of </w:t>
      </w:r>
      <w:r>
        <w:rPr>
          <w:spacing w:val="-3"/>
        </w:rPr>
        <w:t>legal costs was not </w:t>
      </w:r>
      <w:r>
        <w:rPr>
          <w:spacing w:val="-4"/>
        </w:rPr>
        <w:t>notified </w:t>
      </w:r>
      <w:r>
        <w:rPr/>
        <w:t>to </w:t>
      </w:r>
      <w:r>
        <w:rPr>
          <w:spacing w:val="-3"/>
        </w:rPr>
        <w:t>the </w:t>
      </w:r>
      <w:r>
        <w:rPr>
          <w:spacing w:val="-4"/>
        </w:rPr>
        <w:t>Council </w:t>
      </w:r>
      <w:r>
        <w:rPr>
          <w:spacing w:val="-3"/>
        </w:rPr>
        <w:t>until 30 June </w:t>
      </w:r>
      <w:r>
        <w:rPr>
          <w:spacing w:val="-4"/>
        </w:rPr>
        <w:t>2017. This </w:t>
      </w:r>
      <w:r>
        <w:rPr>
          <w:spacing w:val="-3"/>
        </w:rPr>
        <w:t>issue will </w:t>
      </w:r>
      <w:r>
        <w:rPr/>
        <w:t>be </w:t>
      </w:r>
      <w:r>
        <w:rPr>
          <w:spacing w:val="-4"/>
        </w:rPr>
        <w:t>addressed </w:t>
      </w:r>
      <w:r>
        <w:rPr>
          <w:spacing w:val="-3"/>
        </w:rPr>
        <w:t>in </w:t>
      </w:r>
      <w:r>
        <w:rPr/>
        <w:t>a </w:t>
      </w:r>
      <w:r>
        <w:rPr>
          <w:spacing w:val="-4"/>
        </w:rPr>
        <w:t>timely manner </w:t>
      </w:r>
      <w:r>
        <w:rPr/>
        <w:t>in </w:t>
      </w:r>
      <w:r>
        <w:rPr>
          <w:spacing w:val="-3"/>
        </w:rPr>
        <w:t>the </w:t>
      </w:r>
      <w:r>
        <w:rPr>
          <w:spacing w:val="-4"/>
        </w:rPr>
        <w:t>future. </w:t>
      </w:r>
      <w:r>
        <w:rPr>
          <w:spacing w:val="-2"/>
        </w:rPr>
        <w:t>All </w:t>
      </w:r>
      <w:r>
        <w:rPr>
          <w:spacing w:val="-4"/>
        </w:rPr>
        <w:t>adjustments mentioned above </w:t>
      </w:r>
      <w:r>
        <w:rPr>
          <w:spacing w:val="-3"/>
        </w:rPr>
        <w:t>will be </w:t>
      </w:r>
      <w:r>
        <w:rPr>
          <w:spacing w:val="-4"/>
        </w:rPr>
        <w:t>processed </w:t>
      </w:r>
      <w:r>
        <w:rPr>
          <w:spacing w:val="-3"/>
        </w:rPr>
        <w:t>where </w:t>
      </w:r>
      <w:r>
        <w:rPr>
          <w:spacing w:val="-4"/>
        </w:rPr>
        <w:t>appropriate </w:t>
      </w:r>
      <w:r>
        <w:rPr/>
        <w:t>in </w:t>
      </w:r>
      <w:r>
        <w:rPr>
          <w:spacing w:val="-4"/>
        </w:rPr>
        <w:t>2017.</w:t>
      </w:r>
    </w:p>
    <w:p>
      <w:pPr>
        <w:pStyle w:val="BodyText"/>
        <w:spacing w:before="1"/>
      </w:pPr>
    </w:p>
    <w:p>
      <w:pPr>
        <w:pStyle w:val="Heading2"/>
        <w:numPr>
          <w:ilvl w:val="0"/>
          <w:numId w:val="3"/>
        </w:numPr>
        <w:tabs>
          <w:tab w:pos="837" w:val="left" w:leader="none"/>
          <w:tab w:pos="838" w:val="left" w:leader="none"/>
        </w:tabs>
        <w:spacing w:line="240" w:lineRule="auto" w:before="0" w:after="0"/>
        <w:ind w:left="838" w:right="0" w:hanging="720"/>
        <w:jc w:val="left"/>
      </w:pPr>
      <w:r>
        <w:rPr>
          <w:spacing w:val="-4"/>
        </w:rPr>
        <w:t>Transfer </w:t>
      </w:r>
      <w:r>
        <w:rPr/>
        <w:t>of </w:t>
      </w:r>
      <w:r>
        <w:rPr>
          <w:spacing w:val="-3"/>
        </w:rPr>
        <w:t>Water </w:t>
      </w:r>
      <w:r>
        <w:rPr/>
        <w:t>and </w:t>
      </w:r>
      <w:r>
        <w:rPr>
          <w:spacing w:val="-4"/>
        </w:rPr>
        <w:t>Sewerage Functions </w:t>
      </w:r>
      <w:r>
        <w:rPr>
          <w:spacing w:val="-3"/>
        </w:rPr>
        <w:t>to Irish Water</w:t>
      </w:r>
      <w:r>
        <w:rPr>
          <w:spacing w:val="-18"/>
        </w:rPr>
        <w:t> </w:t>
      </w:r>
      <w:r>
        <w:rPr>
          <w:spacing w:val="-3"/>
        </w:rPr>
        <w:t>(IW)</w:t>
      </w:r>
    </w:p>
    <w:p>
      <w:pPr>
        <w:pStyle w:val="BodyText"/>
        <w:spacing w:before="10"/>
        <w:rPr>
          <w:b/>
          <w:sz w:val="21"/>
        </w:rPr>
      </w:pPr>
    </w:p>
    <w:p>
      <w:pPr>
        <w:pStyle w:val="BodyText"/>
        <w:ind w:left="838" w:right="490"/>
      </w:pPr>
      <w:r>
        <w:rPr>
          <w:spacing w:val="-3"/>
        </w:rPr>
        <w:t>There </w:t>
      </w:r>
      <w:r>
        <w:rPr/>
        <w:t>are </w:t>
      </w:r>
      <w:r>
        <w:rPr>
          <w:spacing w:val="-4"/>
        </w:rPr>
        <w:t>ongoing issues </w:t>
      </w:r>
      <w:r>
        <w:rPr>
          <w:spacing w:val="-3"/>
        </w:rPr>
        <w:t>with </w:t>
      </w:r>
      <w:r>
        <w:rPr>
          <w:spacing w:val="-4"/>
        </w:rPr>
        <w:t>regard </w:t>
      </w:r>
      <w:r>
        <w:rPr/>
        <w:t>to </w:t>
      </w:r>
      <w:r>
        <w:rPr>
          <w:spacing w:val="-3"/>
        </w:rPr>
        <w:t>the </w:t>
      </w:r>
      <w:r>
        <w:rPr>
          <w:spacing w:val="-4"/>
        </w:rPr>
        <w:t>transfer </w:t>
      </w:r>
      <w:r>
        <w:rPr/>
        <w:t>of </w:t>
      </w:r>
      <w:r>
        <w:rPr>
          <w:spacing w:val="-3"/>
        </w:rPr>
        <w:t>title </w:t>
      </w:r>
      <w:r>
        <w:rPr/>
        <w:t>of </w:t>
      </w:r>
      <w:r>
        <w:rPr>
          <w:spacing w:val="-4"/>
        </w:rPr>
        <w:t>properties transferred </w:t>
      </w:r>
      <w:r>
        <w:rPr/>
        <w:t>to </w:t>
      </w:r>
      <w:r>
        <w:rPr>
          <w:spacing w:val="-3"/>
        </w:rPr>
        <w:t>IW, </w:t>
      </w:r>
      <w:r>
        <w:rPr>
          <w:spacing w:val="-4"/>
        </w:rPr>
        <w:t>including right </w:t>
      </w:r>
      <w:r>
        <w:rPr/>
        <w:t>of </w:t>
      </w:r>
      <w:r>
        <w:rPr>
          <w:spacing w:val="-3"/>
        </w:rPr>
        <w:t>way </w:t>
      </w:r>
      <w:r>
        <w:rPr>
          <w:spacing w:val="-4"/>
        </w:rPr>
        <w:t>issues, </w:t>
      </w:r>
      <w:r>
        <w:rPr>
          <w:spacing w:val="-3"/>
        </w:rPr>
        <w:t>sites not </w:t>
      </w:r>
      <w:r>
        <w:rPr>
          <w:spacing w:val="-4"/>
        </w:rPr>
        <w:t>registered </w:t>
      </w:r>
      <w:r>
        <w:rPr>
          <w:spacing w:val="-3"/>
        </w:rPr>
        <w:t>and </w:t>
      </w:r>
      <w:r>
        <w:rPr/>
        <w:t>the </w:t>
      </w:r>
      <w:r>
        <w:rPr>
          <w:spacing w:val="-4"/>
        </w:rPr>
        <w:t>subdivision </w:t>
      </w:r>
      <w:r>
        <w:rPr/>
        <w:t>of </w:t>
      </w:r>
      <w:r>
        <w:rPr>
          <w:spacing w:val="-4"/>
        </w:rPr>
        <w:t>folios. </w:t>
      </w:r>
      <w:r>
        <w:rPr>
          <w:spacing w:val="-3"/>
        </w:rPr>
        <w:t>The </w:t>
      </w:r>
      <w:r>
        <w:rPr>
          <w:spacing w:val="-4"/>
        </w:rPr>
        <w:t>Council </w:t>
      </w:r>
      <w:r>
        <w:rPr>
          <w:spacing w:val="-3"/>
        </w:rPr>
        <w:t>is </w:t>
      </w:r>
      <w:r>
        <w:rPr>
          <w:spacing w:val="-4"/>
        </w:rPr>
        <w:t>continuing </w:t>
      </w:r>
      <w:r>
        <w:rPr>
          <w:spacing w:val="-3"/>
        </w:rPr>
        <w:t>to </w:t>
      </w:r>
      <w:r>
        <w:rPr>
          <w:spacing w:val="-4"/>
        </w:rPr>
        <w:t>work </w:t>
      </w:r>
      <w:r>
        <w:rPr>
          <w:spacing w:val="-3"/>
        </w:rPr>
        <w:t>with </w:t>
      </w:r>
      <w:r>
        <w:rPr/>
        <w:t>IW </w:t>
      </w:r>
      <w:r>
        <w:rPr>
          <w:spacing w:val="-3"/>
        </w:rPr>
        <w:t>in </w:t>
      </w:r>
      <w:r>
        <w:rPr>
          <w:spacing w:val="-4"/>
        </w:rPr>
        <w:t>order </w:t>
      </w:r>
      <w:r>
        <w:rPr/>
        <w:t>to </w:t>
      </w:r>
      <w:r>
        <w:rPr>
          <w:spacing w:val="-4"/>
        </w:rPr>
        <w:t>address these matters.</w:t>
      </w:r>
    </w:p>
    <w:p>
      <w:pPr>
        <w:pStyle w:val="BodyText"/>
        <w:spacing w:before="9"/>
        <w:rPr>
          <w:sz w:val="21"/>
        </w:rPr>
      </w:pPr>
    </w:p>
    <w:p>
      <w:pPr>
        <w:pStyle w:val="Heading2"/>
        <w:spacing w:before="1"/>
        <w:ind w:firstLine="0"/>
      </w:pPr>
      <w:r>
        <w:rPr/>
        <w:t>Chief Executive’s Response</w:t>
      </w:r>
    </w:p>
    <w:p>
      <w:pPr>
        <w:pStyle w:val="BodyText"/>
        <w:spacing w:before="10"/>
        <w:rPr>
          <w:b/>
          <w:sz w:val="21"/>
        </w:rPr>
      </w:pPr>
    </w:p>
    <w:p>
      <w:pPr>
        <w:pStyle w:val="BodyText"/>
        <w:ind w:left="826" w:right="136"/>
        <w:jc w:val="both"/>
      </w:pPr>
      <w:r>
        <w:rPr/>
        <w:t>The issues in relation to asset transfer are not impacting on the operational effectiveness of the service. There is ongoing communication with Irish Water. Progress is steady but slow which is normal for this type of work and will take a number of years to complete.</w:t>
      </w:r>
    </w:p>
    <w:p>
      <w:pPr>
        <w:pStyle w:val="BodyText"/>
        <w:spacing w:before="9"/>
        <w:rPr>
          <w:sz w:val="21"/>
        </w:rPr>
      </w:pPr>
    </w:p>
    <w:p>
      <w:pPr>
        <w:pStyle w:val="Heading2"/>
        <w:numPr>
          <w:ilvl w:val="0"/>
          <w:numId w:val="3"/>
        </w:numPr>
        <w:tabs>
          <w:tab w:pos="837" w:val="left" w:leader="none"/>
          <w:tab w:pos="838" w:val="left" w:leader="none"/>
        </w:tabs>
        <w:spacing w:line="240" w:lineRule="auto" w:before="1" w:after="0"/>
        <w:ind w:left="838" w:right="0" w:hanging="720"/>
        <w:jc w:val="left"/>
      </w:pPr>
      <w:r>
        <w:rPr>
          <w:spacing w:val="-4"/>
        </w:rPr>
        <w:t>Capital</w:t>
      </w:r>
      <w:r>
        <w:rPr>
          <w:spacing w:val="6"/>
        </w:rPr>
        <w:t> </w:t>
      </w:r>
      <w:r>
        <w:rPr>
          <w:spacing w:val="-4"/>
        </w:rPr>
        <w:t>Account</w:t>
      </w:r>
    </w:p>
    <w:p>
      <w:pPr>
        <w:pStyle w:val="BodyText"/>
        <w:spacing w:before="11"/>
        <w:rPr>
          <w:b/>
          <w:sz w:val="21"/>
        </w:rPr>
      </w:pPr>
    </w:p>
    <w:p>
      <w:pPr>
        <w:pStyle w:val="ListParagraph"/>
        <w:numPr>
          <w:ilvl w:val="1"/>
          <w:numId w:val="3"/>
        </w:numPr>
        <w:tabs>
          <w:tab w:pos="825" w:val="left" w:leader="none"/>
          <w:tab w:pos="826" w:val="left" w:leader="none"/>
        </w:tabs>
        <w:spacing w:line="240" w:lineRule="auto" w:before="0" w:after="0"/>
        <w:ind w:left="826" w:right="0" w:hanging="708"/>
        <w:jc w:val="left"/>
        <w:rPr>
          <w:b/>
          <w:sz w:val="22"/>
        </w:rPr>
      </w:pPr>
      <w:r>
        <w:rPr>
          <w:b/>
          <w:spacing w:val="-4"/>
          <w:sz w:val="22"/>
        </w:rPr>
        <w:t>Unfunded</w:t>
      </w:r>
      <w:r>
        <w:rPr>
          <w:b/>
          <w:spacing w:val="10"/>
          <w:sz w:val="22"/>
        </w:rPr>
        <w:t> </w:t>
      </w:r>
      <w:r>
        <w:rPr>
          <w:b/>
          <w:spacing w:val="-4"/>
          <w:sz w:val="22"/>
        </w:rPr>
        <w:t>Balances</w:t>
      </w:r>
    </w:p>
    <w:p>
      <w:pPr>
        <w:pStyle w:val="BodyText"/>
        <w:spacing w:before="1"/>
        <w:rPr>
          <w:b/>
        </w:rPr>
      </w:pPr>
    </w:p>
    <w:p>
      <w:pPr>
        <w:pStyle w:val="BodyText"/>
        <w:ind w:left="826" w:right="199"/>
        <w:jc w:val="both"/>
      </w:pPr>
      <w:r>
        <w:rPr>
          <w:spacing w:val="-3"/>
        </w:rPr>
        <w:t>Net </w:t>
      </w:r>
      <w:r>
        <w:rPr>
          <w:spacing w:val="-4"/>
        </w:rPr>
        <w:t>capital balances </w:t>
      </w:r>
      <w:r>
        <w:rPr/>
        <w:t>at </w:t>
      </w:r>
      <w:r>
        <w:rPr>
          <w:spacing w:val="-3"/>
        </w:rPr>
        <w:t>the end </w:t>
      </w:r>
      <w:r>
        <w:rPr/>
        <w:t>of </w:t>
      </w:r>
      <w:r>
        <w:rPr>
          <w:spacing w:val="-3"/>
        </w:rPr>
        <w:t>the year </w:t>
      </w:r>
      <w:r>
        <w:rPr>
          <w:spacing w:val="-4"/>
        </w:rPr>
        <w:t>showed </w:t>
      </w:r>
      <w:r>
        <w:rPr/>
        <w:t>a </w:t>
      </w:r>
      <w:r>
        <w:rPr>
          <w:spacing w:val="-4"/>
        </w:rPr>
        <w:t>surplus </w:t>
      </w:r>
      <w:r>
        <w:rPr/>
        <w:t>of </w:t>
      </w:r>
      <w:r>
        <w:rPr>
          <w:spacing w:val="-4"/>
        </w:rPr>
        <w:t>€13.425m. Included </w:t>
      </w:r>
      <w:r>
        <w:rPr>
          <w:spacing w:val="-3"/>
        </w:rPr>
        <w:t>in </w:t>
      </w:r>
      <w:r>
        <w:rPr>
          <w:spacing w:val="-4"/>
        </w:rPr>
        <w:t>this </w:t>
      </w:r>
      <w:r>
        <w:rPr>
          <w:spacing w:val="-3"/>
        </w:rPr>
        <w:t>sum is </w:t>
      </w:r>
      <w:r>
        <w:rPr/>
        <w:t>an </w:t>
      </w:r>
      <w:r>
        <w:rPr>
          <w:spacing w:val="-4"/>
        </w:rPr>
        <w:t>amount </w:t>
      </w:r>
      <w:r>
        <w:rPr/>
        <w:t>of </w:t>
      </w:r>
      <w:r>
        <w:rPr>
          <w:spacing w:val="-4"/>
        </w:rPr>
        <w:t>€3.4m </w:t>
      </w:r>
      <w:r>
        <w:rPr/>
        <w:t>in </w:t>
      </w:r>
      <w:r>
        <w:rPr>
          <w:spacing w:val="-4"/>
        </w:rPr>
        <w:t>respect </w:t>
      </w:r>
      <w:r>
        <w:rPr/>
        <w:t>of </w:t>
      </w:r>
      <w:r>
        <w:rPr>
          <w:spacing w:val="-3"/>
        </w:rPr>
        <w:t>land </w:t>
      </w:r>
      <w:r>
        <w:rPr>
          <w:spacing w:val="-4"/>
        </w:rPr>
        <w:t>purchases </w:t>
      </w:r>
      <w:r>
        <w:rPr/>
        <w:t>and </w:t>
      </w:r>
      <w:r>
        <w:rPr>
          <w:spacing w:val="-4"/>
        </w:rPr>
        <w:t>other </w:t>
      </w:r>
      <w:r>
        <w:rPr>
          <w:spacing w:val="-3"/>
        </w:rPr>
        <w:t>smaller </w:t>
      </w:r>
      <w:r>
        <w:rPr>
          <w:spacing w:val="-4"/>
        </w:rPr>
        <w:t>projects which </w:t>
      </w:r>
      <w:r>
        <w:rPr>
          <w:spacing w:val="-3"/>
        </w:rPr>
        <w:t>have </w:t>
      </w:r>
      <w:r>
        <w:rPr>
          <w:spacing w:val="-4"/>
        </w:rPr>
        <w:t>remained </w:t>
      </w:r>
      <w:r>
        <w:rPr>
          <w:spacing w:val="-3"/>
        </w:rPr>
        <w:t>static </w:t>
      </w:r>
      <w:r>
        <w:rPr/>
        <w:t>for </w:t>
      </w:r>
      <w:r>
        <w:rPr>
          <w:spacing w:val="-4"/>
        </w:rPr>
        <w:t>three </w:t>
      </w:r>
      <w:r>
        <w:rPr>
          <w:spacing w:val="-3"/>
        </w:rPr>
        <w:t>or more years.</w:t>
      </w:r>
    </w:p>
    <w:p>
      <w:pPr>
        <w:spacing w:after="0"/>
        <w:jc w:val="both"/>
        <w:sectPr>
          <w:pgSz w:w="11910" w:h="16840"/>
          <w:pgMar w:header="0" w:footer="447" w:top="1320" w:bottom="640" w:left="1680" w:right="1680"/>
        </w:sectPr>
      </w:pPr>
    </w:p>
    <w:p>
      <w:pPr>
        <w:pStyle w:val="Heading2"/>
        <w:spacing w:before="78"/>
        <w:ind w:firstLine="0"/>
      </w:pPr>
      <w:r>
        <w:rPr/>
        <w:t>Chief Executive’s Response</w:t>
      </w:r>
    </w:p>
    <w:p>
      <w:pPr>
        <w:pStyle w:val="BodyText"/>
        <w:spacing w:before="10"/>
        <w:rPr>
          <w:b/>
          <w:sz w:val="21"/>
        </w:rPr>
      </w:pPr>
    </w:p>
    <w:p>
      <w:pPr>
        <w:pStyle w:val="BodyText"/>
        <w:ind w:left="826" w:right="120"/>
      </w:pPr>
      <w:r>
        <w:rPr>
          <w:spacing w:val="-3"/>
        </w:rPr>
        <w:t>Debit </w:t>
      </w:r>
      <w:r>
        <w:rPr>
          <w:spacing w:val="-4"/>
        </w:rPr>
        <w:t>balances </w:t>
      </w:r>
      <w:r>
        <w:rPr/>
        <w:t>on </w:t>
      </w:r>
      <w:r>
        <w:rPr>
          <w:spacing w:val="-4"/>
        </w:rPr>
        <w:t>land acquisitions represent </w:t>
      </w:r>
      <w:r>
        <w:rPr>
          <w:spacing w:val="-3"/>
        </w:rPr>
        <w:t>the </w:t>
      </w:r>
      <w:r>
        <w:rPr>
          <w:spacing w:val="-4"/>
        </w:rPr>
        <w:t>largest element </w:t>
      </w:r>
      <w:r>
        <w:rPr/>
        <w:t>of </w:t>
      </w:r>
      <w:r>
        <w:rPr>
          <w:spacing w:val="-4"/>
        </w:rPr>
        <w:t>capital unfunded </w:t>
      </w:r>
      <w:r>
        <w:rPr>
          <w:spacing w:val="-3"/>
        </w:rPr>
        <w:t>debit </w:t>
      </w:r>
      <w:r>
        <w:rPr>
          <w:spacing w:val="-4"/>
        </w:rPr>
        <w:t>balances </w:t>
      </w:r>
      <w:r>
        <w:rPr/>
        <w:t>at 31 </w:t>
      </w:r>
      <w:r>
        <w:rPr>
          <w:spacing w:val="-4"/>
        </w:rPr>
        <w:t>December 2016. </w:t>
      </w:r>
      <w:r>
        <w:rPr>
          <w:spacing w:val="-3"/>
        </w:rPr>
        <w:t>These </w:t>
      </w:r>
      <w:r>
        <w:rPr>
          <w:spacing w:val="-4"/>
        </w:rPr>
        <w:t>balances </w:t>
      </w:r>
      <w:r>
        <w:rPr>
          <w:spacing w:val="-3"/>
        </w:rPr>
        <w:t>will be </w:t>
      </w:r>
      <w:r>
        <w:rPr>
          <w:spacing w:val="-4"/>
        </w:rPr>
        <w:t>addressed </w:t>
      </w:r>
      <w:r>
        <w:rPr>
          <w:spacing w:val="-3"/>
        </w:rPr>
        <w:t>on </w:t>
      </w:r>
      <w:r>
        <w:rPr>
          <w:spacing w:val="-4"/>
        </w:rPr>
        <w:t>disposal </w:t>
      </w:r>
      <w:r>
        <w:rPr/>
        <w:t>of </w:t>
      </w:r>
      <w:r>
        <w:rPr>
          <w:spacing w:val="-3"/>
        </w:rPr>
        <w:t>these lands. </w:t>
      </w:r>
      <w:r>
        <w:rPr/>
        <w:t>The </w:t>
      </w:r>
      <w:r>
        <w:rPr>
          <w:spacing w:val="-4"/>
        </w:rPr>
        <w:t>remaining debit balances </w:t>
      </w:r>
      <w:r>
        <w:rPr>
          <w:spacing w:val="-3"/>
        </w:rPr>
        <w:t>relate </w:t>
      </w:r>
      <w:r>
        <w:rPr>
          <w:spacing w:val="-4"/>
        </w:rPr>
        <w:t>predominately </w:t>
      </w:r>
      <w:r>
        <w:rPr>
          <w:spacing w:val="-3"/>
        </w:rPr>
        <w:t>to </w:t>
      </w:r>
      <w:r>
        <w:rPr>
          <w:spacing w:val="-4"/>
        </w:rPr>
        <w:t>housing </w:t>
      </w:r>
      <w:r>
        <w:rPr>
          <w:spacing w:val="-3"/>
        </w:rPr>
        <w:t>and these </w:t>
      </w:r>
      <w:r>
        <w:rPr>
          <w:spacing w:val="-4"/>
        </w:rPr>
        <w:t>will </w:t>
      </w:r>
      <w:r>
        <w:rPr/>
        <w:t>be </w:t>
      </w:r>
      <w:r>
        <w:rPr>
          <w:spacing w:val="-4"/>
        </w:rPr>
        <w:t>reviewed </w:t>
      </w:r>
      <w:r>
        <w:rPr>
          <w:spacing w:val="-3"/>
        </w:rPr>
        <w:t>with </w:t>
      </w:r>
      <w:r>
        <w:rPr>
          <w:spacing w:val="-4"/>
        </w:rPr>
        <w:t>regard </w:t>
      </w:r>
      <w:r>
        <w:rPr>
          <w:spacing w:val="-3"/>
        </w:rPr>
        <w:t>to </w:t>
      </w:r>
      <w:r>
        <w:rPr>
          <w:spacing w:val="-4"/>
        </w:rPr>
        <w:t>funding.</w:t>
      </w:r>
    </w:p>
    <w:p>
      <w:pPr>
        <w:pStyle w:val="BodyText"/>
        <w:spacing w:before="10"/>
        <w:rPr>
          <w:sz w:val="21"/>
        </w:rPr>
      </w:pPr>
    </w:p>
    <w:p>
      <w:pPr>
        <w:pStyle w:val="Heading2"/>
        <w:numPr>
          <w:ilvl w:val="1"/>
          <w:numId w:val="3"/>
        </w:numPr>
        <w:tabs>
          <w:tab w:pos="825" w:val="left" w:leader="none"/>
          <w:tab w:pos="826" w:val="left" w:leader="none"/>
        </w:tabs>
        <w:spacing w:line="240" w:lineRule="auto" w:before="0" w:after="0"/>
        <w:ind w:left="826" w:right="0" w:hanging="708"/>
        <w:jc w:val="left"/>
      </w:pPr>
      <w:r>
        <w:rPr>
          <w:spacing w:val="-3"/>
        </w:rPr>
        <w:t>Credit </w:t>
      </w:r>
      <w:r>
        <w:rPr>
          <w:spacing w:val="-4"/>
        </w:rPr>
        <w:t>Balances </w:t>
      </w:r>
      <w:r>
        <w:rPr>
          <w:spacing w:val="-3"/>
        </w:rPr>
        <w:t>on </w:t>
      </w:r>
      <w:r>
        <w:rPr>
          <w:spacing w:val="-4"/>
        </w:rPr>
        <w:t>Projects Identified </w:t>
      </w:r>
      <w:r>
        <w:rPr/>
        <w:t>as</w:t>
      </w:r>
      <w:r>
        <w:rPr>
          <w:spacing w:val="10"/>
        </w:rPr>
        <w:t> </w:t>
      </w:r>
      <w:r>
        <w:rPr>
          <w:spacing w:val="-4"/>
        </w:rPr>
        <w:t>Complete</w:t>
      </w:r>
    </w:p>
    <w:p>
      <w:pPr>
        <w:pStyle w:val="BodyText"/>
        <w:spacing w:before="10"/>
        <w:rPr>
          <w:b/>
          <w:sz w:val="21"/>
        </w:rPr>
      </w:pPr>
    </w:p>
    <w:p>
      <w:pPr>
        <w:pStyle w:val="BodyText"/>
        <w:ind w:left="826"/>
      </w:pPr>
      <w:r>
        <w:rPr>
          <w:spacing w:val="-3"/>
        </w:rPr>
        <w:t>During </w:t>
      </w:r>
      <w:r>
        <w:rPr/>
        <w:t>a </w:t>
      </w:r>
      <w:r>
        <w:rPr>
          <w:spacing w:val="-4"/>
        </w:rPr>
        <w:t>review </w:t>
      </w:r>
      <w:r>
        <w:rPr>
          <w:spacing w:val="-3"/>
        </w:rPr>
        <w:t>of capital </w:t>
      </w:r>
      <w:r>
        <w:rPr>
          <w:spacing w:val="-4"/>
        </w:rPr>
        <w:t>balances, </w:t>
      </w:r>
      <w:r>
        <w:rPr/>
        <w:t>it </w:t>
      </w:r>
      <w:r>
        <w:rPr>
          <w:spacing w:val="-3"/>
        </w:rPr>
        <w:t>was noted that there are credit </w:t>
      </w:r>
      <w:r>
        <w:rPr>
          <w:spacing w:val="-4"/>
        </w:rPr>
        <w:t>balances included </w:t>
      </w:r>
      <w:r>
        <w:rPr>
          <w:spacing w:val="-3"/>
        </w:rPr>
        <w:t>on </w:t>
      </w:r>
      <w:r>
        <w:rPr>
          <w:spacing w:val="-4"/>
        </w:rPr>
        <w:t>projects </w:t>
      </w:r>
      <w:r>
        <w:rPr>
          <w:spacing w:val="-3"/>
        </w:rPr>
        <w:t>which are </w:t>
      </w:r>
      <w:r>
        <w:rPr>
          <w:spacing w:val="-4"/>
        </w:rPr>
        <w:t>classified </w:t>
      </w:r>
      <w:r>
        <w:rPr>
          <w:spacing w:val="-3"/>
        </w:rPr>
        <w:t>as </w:t>
      </w:r>
      <w:r>
        <w:rPr>
          <w:spacing w:val="-4"/>
        </w:rPr>
        <w:t>completed assets. Theses balances should </w:t>
      </w:r>
      <w:r>
        <w:rPr/>
        <w:t>be </w:t>
      </w:r>
      <w:r>
        <w:rPr>
          <w:spacing w:val="-4"/>
        </w:rPr>
        <w:t>reviewed.</w:t>
      </w:r>
    </w:p>
    <w:p>
      <w:pPr>
        <w:pStyle w:val="BodyText"/>
        <w:spacing w:before="11"/>
        <w:rPr>
          <w:sz w:val="21"/>
        </w:rPr>
      </w:pPr>
    </w:p>
    <w:p>
      <w:pPr>
        <w:pStyle w:val="Heading2"/>
        <w:ind w:left="826" w:firstLine="0"/>
      </w:pPr>
      <w:r>
        <w:rPr/>
        <w:t>Chief Executive’s Response</w:t>
      </w:r>
    </w:p>
    <w:p>
      <w:pPr>
        <w:pStyle w:val="BodyText"/>
        <w:spacing w:before="10"/>
        <w:rPr>
          <w:b/>
          <w:sz w:val="21"/>
        </w:rPr>
      </w:pPr>
    </w:p>
    <w:p>
      <w:pPr>
        <w:pStyle w:val="BodyText"/>
        <w:ind w:left="826"/>
      </w:pPr>
      <w:r>
        <w:rPr/>
        <w:t>These balances will be investigated and reviewed in 2017.</w:t>
      </w:r>
    </w:p>
    <w:p>
      <w:pPr>
        <w:pStyle w:val="BodyText"/>
        <w:spacing w:before="1"/>
      </w:pPr>
    </w:p>
    <w:p>
      <w:pPr>
        <w:pStyle w:val="Heading2"/>
        <w:numPr>
          <w:ilvl w:val="1"/>
          <w:numId w:val="3"/>
        </w:numPr>
        <w:tabs>
          <w:tab w:pos="837" w:val="left" w:leader="none"/>
          <w:tab w:pos="838" w:val="left" w:leader="none"/>
        </w:tabs>
        <w:spacing w:line="240" w:lineRule="auto" w:before="0" w:after="0"/>
        <w:ind w:left="838" w:right="0" w:hanging="720"/>
        <w:jc w:val="left"/>
      </w:pPr>
      <w:r>
        <w:rPr>
          <w:spacing w:val="-3"/>
        </w:rPr>
        <w:t>Grants </w:t>
      </w:r>
      <w:r>
        <w:rPr>
          <w:spacing w:val="-4"/>
        </w:rPr>
        <w:t>Received from Transport Infrastructure Ireland</w:t>
      </w:r>
      <w:r>
        <w:rPr>
          <w:spacing w:val="20"/>
        </w:rPr>
        <w:t> </w:t>
      </w:r>
      <w:r>
        <w:rPr>
          <w:spacing w:val="-3"/>
        </w:rPr>
        <w:t>(TII)</w:t>
      </w:r>
    </w:p>
    <w:p>
      <w:pPr>
        <w:pStyle w:val="BodyText"/>
        <w:spacing w:before="10"/>
        <w:rPr>
          <w:b/>
          <w:sz w:val="21"/>
        </w:rPr>
      </w:pPr>
    </w:p>
    <w:p>
      <w:pPr>
        <w:pStyle w:val="BodyText"/>
        <w:ind w:left="838" w:right="193"/>
      </w:pPr>
      <w:r>
        <w:rPr/>
        <w:t>A</w:t>
      </w:r>
      <w:r>
        <w:rPr>
          <w:spacing w:val="-5"/>
        </w:rPr>
        <w:t> </w:t>
      </w:r>
      <w:r>
        <w:rPr>
          <w:spacing w:val="-3"/>
        </w:rPr>
        <w:t>review</w:t>
      </w:r>
      <w:r>
        <w:rPr>
          <w:spacing w:val="-7"/>
        </w:rPr>
        <w:t> </w:t>
      </w:r>
      <w:r>
        <w:rPr/>
        <w:t>of</w:t>
      </w:r>
      <w:r>
        <w:rPr>
          <w:spacing w:val="-6"/>
        </w:rPr>
        <w:t> </w:t>
      </w:r>
      <w:r>
        <w:rPr>
          <w:spacing w:val="-4"/>
        </w:rPr>
        <w:t>capital balances</w:t>
      </w:r>
      <w:r>
        <w:rPr>
          <w:spacing w:val="-6"/>
        </w:rPr>
        <w:t> </w:t>
      </w:r>
      <w:r>
        <w:rPr>
          <w:spacing w:val="-4"/>
        </w:rPr>
        <w:t>noted</w:t>
      </w:r>
      <w:r>
        <w:rPr>
          <w:spacing w:val="-6"/>
        </w:rPr>
        <w:t> </w:t>
      </w:r>
      <w:r>
        <w:rPr>
          <w:spacing w:val="-3"/>
        </w:rPr>
        <w:t>that</w:t>
      </w:r>
      <w:r>
        <w:rPr>
          <w:spacing w:val="-6"/>
        </w:rPr>
        <w:t> </w:t>
      </w:r>
      <w:r>
        <w:rPr/>
        <w:t>a</w:t>
      </w:r>
      <w:r>
        <w:rPr>
          <w:spacing w:val="-6"/>
        </w:rPr>
        <w:t> </w:t>
      </w:r>
      <w:r>
        <w:rPr>
          <w:spacing w:val="-3"/>
        </w:rPr>
        <w:t>sum</w:t>
      </w:r>
      <w:r>
        <w:rPr>
          <w:spacing w:val="-4"/>
        </w:rPr>
        <w:t> </w:t>
      </w:r>
      <w:r>
        <w:rPr>
          <w:spacing w:val="-3"/>
        </w:rPr>
        <w:t>of</w:t>
      </w:r>
      <w:r>
        <w:rPr>
          <w:spacing w:val="-6"/>
        </w:rPr>
        <w:t> </w:t>
      </w:r>
      <w:r>
        <w:rPr>
          <w:spacing w:val="-4"/>
        </w:rPr>
        <w:t>€184.9k</w:t>
      </w:r>
      <w:r>
        <w:rPr>
          <w:spacing w:val="-6"/>
        </w:rPr>
        <w:t> </w:t>
      </w:r>
      <w:r>
        <w:rPr>
          <w:spacing w:val="-3"/>
        </w:rPr>
        <w:t>is</w:t>
      </w:r>
      <w:r>
        <w:rPr>
          <w:spacing w:val="-6"/>
        </w:rPr>
        <w:t> </w:t>
      </w:r>
      <w:r>
        <w:rPr>
          <w:spacing w:val="-3"/>
        </w:rPr>
        <w:t>due</w:t>
      </w:r>
      <w:r>
        <w:rPr>
          <w:spacing w:val="-6"/>
        </w:rPr>
        <w:t> </w:t>
      </w:r>
      <w:r>
        <w:rPr/>
        <w:t>to</w:t>
      </w:r>
      <w:r>
        <w:rPr>
          <w:spacing w:val="-6"/>
        </w:rPr>
        <w:t> </w:t>
      </w:r>
      <w:r>
        <w:rPr/>
        <w:t>be</w:t>
      </w:r>
      <w:r>
        <w:rPr>
          <w:spacing w:val="-6"/>
        </w:rPr>
        <w:t> </w:t>
      </w:r>
      <w:r>
        <w:rPr>
          <w:spacing w:val="-4"/>
        </w:rPr>
        <w:t>refunded</w:t>
      </w:r>
      <w:r>
        <w:rPr>
          <w:spacing w:val="-6"/>
        </w:rPr>
        <w:t> </w:t>
      </w:r>
      <w:r>
        <w:rPr/>
        <w:t>to</w:t>
      </w:r>
      <w:r>
        <w:rPr>
          <w:spacing w:val="-6"/>
        </w:rPr>
        <w:t> </w:t>
      </w:r>
      <w:r>
        <w:rPr/>
        <w:t>TII</w:t>
      </w:r>
      <w:r>
        <w:rPr>
          <w:spacing w:val="-6"/>
        </w:rPr>
        <w:t> </w:t>
      </w:r>
      <w:r>
        <w:rPr>
          <w:spacing w:val="-3"/>
        </w:rPr>
        <w:t>as</w:t>
      </w:r>
      <w:r>
        <w:rPr>
          <w:spacing w:val="-6"/>
        </w:rPr>
        <w:t> </w:t>
      </w:r>
      <w:r>
        <w:rPr/>
        <w:t>a</w:t>
      </w:r>
      <w:r>
        <w:rPr>
          <w:spacing w:val="-4"/>
        </w:rPr>
        <w:t> result</w:t>
      </w:r>
      <w:r>
        <w:rPr>
          <w:spacing w:val="-6"/>
        </w:rPr>
        <w:t> </w:t>
      </w:r>
      <w:r>
        <w:rPr/>
        <w:t>of the </w:t>
      </w:r>
      <w:r>
        <w:rPr>
          <w:spacing w:val="-4"/>
        </w:rPr>
        <w:t>agreed draw-down </w:t>
      </w:r>
      <w:r>
        <w:rPr/>
        <w:t>in </w:t>
      </w:r>
      <w:r>
        <w:rPr>
          <w:spacing w:val="-4"/>
        </w:rPr>
        <w:t>advance, </w:t>
      </w:r>
      <w:r>
        <w:rPr>
          <w:spacing w:val="-3"/>
        </w:rPr>
        <w:t>of </w:t>
      </w:r>
      <w:r>
        <w:rPr>
          <w:spacing w:val="-4"/>
        </w:rPr>
        <w:t>grant monies which remained under-spent </w:t>
      </w:r>
      <w:r>
        <w:rPr>
          <w:spacing w:val="-3"/>
        </w:rPr>
        <w:t>after </w:t>
      </w:r>
      <w:r>
        <w:rPr>
          <w:spacing w:val="-4"/>
        </w:rPr>
        <w:t>completion </w:t>
      </w:r>
      <w:r>
        <w:rPr/>
        <w:t>of </w:t>
      </w:r>
      <w:r>
        <w:rPr>
          <w:spacing w:val="-3"/>
        </w:rPr>
        <w:t>the </w:t>
      </w:r>
      <w:r>
        <w:rPr>
          <w:spacing w:val="-4"/>
        </w:rPr>
        <w:t>relevant projects. Details </w:t>
      </w:r>
      <w:r>
        <w:rPr/>
        <w:t>of </w:t>
      </w:r>
      <w:r>
        <w:rPr>
          <w:spacing w:val="-3"/>
        </w:rPr>
        <w:t>these </w:t>
      </w:r>
      <w:r>
        <w:rPr>
          <w:spacing w:val="-4"/>
        </w:rPr>
        <w:t>projects </w:t>
      </w:r>
      <w:r>
        <w:rPr>
          <w:spacing w:val="-3"/>
        </w:rPr>
        <w:t>and the </w:t>
      </w:r>
      <w:r>
        <w:rPr>
          <w:spacing w:val="-4"/>
        </w:rPr>
        <w:t>surplus grant monies relating </w:t>
      </w:r>
      <w:r>
        <w:rPr/>
        <w:t>to </w:t>
      </w:r>
      <w:r>
        <w:rPr>
          <w:spacing w:val="-4"/>
        </w:rPr>
        <w:t>each </w:t>
      </w:r>
      <w:r>
        <w:rPr>
          <w:spacing w:val="-3"/>
        </w:rPr>
        <w:t>one, </w:t>
      </w:r>
      <w:r>
        <w:rPr/>
        <w:t>is </w:t>
      </w:r>
      <w:r>
        <w:rPr>
          <w:spacing w:val="-4"/>
        </w:rPr>
        <w:t>outlined</w:t>
      </w:r>
      <w:r>
        <w:rPr>
          <w:spacing w:val="-1"/>
        </w:rPr>
        <w:t> </w:t>
      </w:r>
      <w:r>
        <w:rPr>
          <w:spacing w:val="-4"/>
        </w:rPr>
        <w:t>below:</w:t>
      </w:r>
    </w:p>
    <w:p>
      <w:pPr>
        <w:pStyle w:val="BodyText"/>
        <w:spacing w:before="1"/>
        <w:rPr>
          <w:sz w:val="24"/>
        </w:rPr>
      </w:pPr>
    </w:p>
    <w:tbl>
      <w:tblPr>
        <w:tblW w:w="0" w:type="auto"/>
        <w:jc w:val="left"/>
        <w:tblInd w:w="1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582"/>
        <w:gridCol w:w="1261"/>
      </w:tblGrid>
      <w:tr>
        <w:trPr>
          <w:trHeight w:val="980" w:hRule="atLeast"/>
        </w:trPr>
        <w:tc>
          <w:tcPr>
            <w:tcW w:w="3582" w:type="dxa"/>
          </w:tcPr>
          <w:p>
            <w:pPr>
              <w:pStyle w:val="TableParagraph"/>
              <w:rPr>
                <w:sz w:val="24"/>
              </w:rPr>
            </w:pPr>
          </w:p>
          <w:p>
            <w:pPr>
              <w:pStyle w:val="TableParagraph"/>
              <w:rPr>
                <w:sz w:val="24"/>
              </w:rPr>
            </w:pPr>
          </w:p>
          <w:p>
            <w:pPr>
              <w:pStyle w:val="TableParagraph"/>
              <w:spacing w:line="234" w:lineRule="exact" w:before="184"/>
              <w:ind w:left="958"/>
              <w:rPr>
                <w:b/>
                <w:sz w:val="22"/>
              </w:rPr>
            </w:pPr>
            <w:r>
              <w:rPr>
                <w:b/>
                <w:sz w:val="22"/>
              </w:rPr>
              <w:t>Project Description</w:t>
            </w:r>
          </w:p>
        </w:tc>
        <w:tc>
          <w:tcPr>
            <w:tcW w:w="1261" w:type="dxa"/>
          </w:tcPr>
          <w:p>
            <w:pPr>
              <w:pStyle w:val="TableParagraph"/>
              <w:spacing w:before="1"/>
              <w:rPr>
                <w:sz w:val="20"/>
              </w:rPr>
            </w:pPr>
          </w:p>
          <w:p>
            <w:pPr>
              <w:pStyle w:val="TableParagraph"/>
              <w:ind w:left="266" w:right="268" w:hanging="3"/>
              <w:jc w:val="center"/>
              <w:rPr>
                <w:b/>
                <w:sz w:val="22"/>
              </w:rPr>
            </w:pPr>
            <w:r>
              <w:rPr>
                <w:b/>
                <w:sz w:val="22"/>
              </w:rPr>
              <w:t>Surplus Funding</w:t>
            </w:r>
          </w:p>
          <w:p>
            <w:pPr>
              <w:pStyle w:val="TableParagraph"/>
              <w:spacing w:line="233" w:lineRule="exact"/>
              <w:ind w:left="403" w:right="405"/>
              <w:jc w:val="center"/>
              <w:rPr>
                <w:b/>
                <w:sz w:val="22"/>
              </w:rPr>
            </w:pPr>
            <w:r>
              <w:rPr>
                <w:b/>
                <w:sz w:val="22"/>
              </w:rPr>
              <w:t>€000</w:t>
            </w:r>
          </w:p>
        </w:tc>
      </w:tr>
      <w:tr>
        <w:trPr>
          <w:trHeight w:val="320" w:hRule="atLeast"/>
        </w:trPr>
        <w:tc>
          <w:tcPr>
            <w:tcW w:w="3582" w:type="dxa"/>
          </w:tcPr>
          <w:p>
            <w:pPr>
              <w:pStyle w:val="TableParagraph"/>
              <w:spacing w:line="234" w:lineRule="exact" w:before="77"/>
              <w:ind w:left="103"/>
              <w:rPr>
                <w:sz w:val="22"/>
              </w:rPr>
            </w:pPr>
            <w:r>
              <w:rPr>
                <w:sz w:val="22"/>
              </w:rPr>
              <w:t>Shannow to Ballinagh</w:t>
            </w:r>
          </w:p>
        </w:tc>
        <w:tc>
          <w:tcPr>
            <w:tcW w:w="1261" w:type="dxa"/>
          </w:tcPr>
          <w:p>
            <w:pPr>
              <w:pStyle w:val="TableParagraph"/>
              <w:spacing w:line="234" w:lineRule="exact" w:before="77"/>
              <w:ind w:right="101"/>
              <w:jc w:val="right"/>
              <w:rPr>
                <w:sz w:val="22"/>
              </w:rPr>
            </w:pPr>
            <w:r>
              <w:rPr>
                <w:sz w:val="22"/>
              </w:rPr>
              <w:t>24.2</w:t>
            </w:r>
          </w:p>
        </w:tc>
      </w:tr>
      <w:tr>
        <w:trPr>
          <w:trHeight w:val="320" w:hRule="atLeast"/>
        </w:trPr>
        <w:tc>
          <w:tcPr>
            <w:tcW w:w="3582" w:type="dxa"/>
          </w:tcPr>
          <w:p>
            <w:pPr>
              <w:pStyle w:val="TableParagraph"/>
              <w:spacing w:line="236" w:lineRule="exact" w:before="74"/>
              <w:ind w:left="103"/>
              <w:rPr>
                <w:sz w:val="22"/>
              </w:rPr>
            </w:pPr>
            <w:r>
              <w:rPr>
                <w:sz w:val="22"/>
              </w:rPr>
              <w:t>Construction of Salt barn at Moynehall</w:t>
            </w:r>
          </w:p>
        </w:tc>
        <w:tc>
          <w:tcPr>
            <w:tcW w:w="1261" w:type="dxa"/>
          </w:tcPr>
          <w:p>
            <w:pPr>
              <w:pStyle w:val="TableParagraph"/>
              <w:spacing w:line="236" w:lineRule="exact" w:before="74"/>
              <w:ind w:right="101"/>
              <w:jc w:val="right"/>
              <w:rPr>
                <w:sz w:val="22"/>
              </w:rPr>
            </w:pPr>
            <w:r>
              <w:rPr>
                <w:sz w:val="22"/>
              </w:rPr>
              <w:t>33.2</w:t>
            </w:r>
          </w:p>
        </w:tc>
      </w:tr>
      <w:tr>
        <w:trPr>
          <w:trHeight w:val="320" w:hRule="atLeast"/>
        </w:trPr>
        <w:tc>
          <w:tcPr>
            <w:tcW w:w="3582" w:type="dxa"/>
          </w:tcPr>
          <w:p>
            <w:pPr>
              <w:pStyle w:val="TableParagraph"/>
              <w:spacing w:line="234" w:lineRule="exact" w:before="74"/>
              <w:ind w:left="103"/>
              <w:rPr>
                <w:sz w:val="22"/>
              </w:rPr>
            </w:pPr>
            <w:r>
              <w:rPr>
                <w:sz w:val="22"/>
              </w:rPr>
              <w:t>Cavan By-Pass</w:t>
            </w:r>
          </w:p>
        </w:tc>
        <w:tc>
          <w:tcPr>
            <w:tcW w:w="1261" w:type="dxa"/>
          </w:tcPr>
          <w:p>
            <w:pPr>
              <w:pStyle w:val="TableParagraph"/>
              <w:spacing w:line="234" w:lineRule="exact" w:before="74"/>
              <w:ind w:right="101"/>
              <w:jc w:val="right"/>
              <w:rPr>
                <w:sz w:val="22"/>
              </w:rPr>
            </w:pPr>
            <w:r>
              <w:rPr>
                <w:sz w:val="22"/>
              </w:rPr>
              <w:t>35.0</w:t>
            </w:r>
          </w:p>
        </w:tc>
      </w:tr>
      <w:tr>
        <w:trPr>
          <w:trHeight w:val="320" w:hRule="atLeast"/>
        </w:trPr>
        <w:tc>
          <w:tcPr>
            <w:tcW w:w="3582" w:type="dxa"/>
          </w:tcPr>
          <w:p>
            <w:pPr>
              <w:pStyle w:val="TableParagraph"/>
              <w:spacing w:line="234" w:lineRule="exact" w:before="77"/>
              <w:ind w:left="103"/>
              <w:rPr>
                <w:sz w:val="22"/>
              </w:rPr>
            </w:pPr>
            <w:r>
              <w:rPr>
                <w:sz w:val="22"/>
              </w:rPr>
              <w:t>Road Realignment at Corduff to Ballytrust</w:t>
            </w:r>
          </w:p>
        </w:tc>
        <w:tc>
          <w:tcPr>
            <w:tcW w:w="1261" w:type="dxa"/>
          </w:tcPr>
          <w:p>
            <w:pPr>
              <w:pStyle w:val="TableParagraph"/>
              <w:spacing w:line="234" w:lineRule="exact" w:before="77"/>
              <w:ind w:right="101"/>
              <w:jc w:val="right"/>
              <w:rPr>
                <w:sz w:val="22"/>
              </w:rPr>
            </w:pPr>
            <w:r>
              <w:rPr>
                <w:sz w:val="22"/>
              </w:rPr>
              <w:t>92.5</w:t>
            </w:r>
          </w:p>
        </w:tc>
      </w:tr>
      <w:tr>
        <w:trPr>
          <w:trHeight w:val="320" w:hRule="atLeast"/>
        </w:trPr>
        <w:tc>
          <w:tcPr>
            <w:tcW w:w="3582" w:type="dxa"/>
          </w:tcPr>
          <w:p>
            <w:pPr>
              <w:pStyle w:val="TableParagraph"/>
              <w:spacing w:line="236" w:lineRule="exact" w:before="74"/>
              <w:ind w:right="101"/>
              <w:jc w:val="right"/>
              <w:rPr>
                <w:b/>
                <w:sz w:val="22"/>
              </w:rPr>
            </w:pPr>
            <w:r>
              <w:rPr>
                <w:b/>
                <w:sz w:val="22"/>
              </w:rPr>
              <w:t>Total</w:t>
            </w:r>
          </w:p>
        </w:tc>
        <w:tc>
          <w:tcPr>
            <w:tcW w:w="1261" w:type="dxa"/>
          </w:tcPr>
          <w:p>
            <w:pPr>
              <w:pStyle w:val="TableParagraph"/>
              <w:spacing w:line="236" w:lineRule="exact" w:before="74"/>
              <w:ind w:right="101"/>
              <w:jc w:val="right"/>
              <w:rPr>
                <w:b/>
                <w:sz w:val="22"/>
              </w:rPr>
            </w:pPr>
            <w:r>
              <w:rPr>
                <w:b/>
                <w:sz w:val="22"/>
              </w:rPr>
              <w:t>184.9</w:t>
            </w:r>
          </w:p>
        </w:tc>
      </w:tr>
    </w:tbl>
    <w:p>
      <w:pPr>
        <w:pStyle w:val="BodyText"/>
        <w:spacing w:before="9"/>
        <w:rPr>
          <w:sz w:val="21"/>
        </w:rPr>
      </w:pPr>
    </w:p>
    <w:p>
      <w:pPr>
        <w:pStyle w:val="BodyText"/>
        <w:ind w:left="838"/>
      </w:pPr>
      <w:r>
        <w:rPr/>
        <w:t>The </w:t>
      </w:r>
      <w:r>
        <w:rPr>
          <w:spacing w:val="-4"/>
        </w:rPr>
        <w:t>Council </w:t>
      </w:r>
      <w:r>
        <w:rPr>
          <w:spacing w:val="-3"/>
        </w:rPr>
        <w:t>should </w:t>
      </w:r>
      <w:r>
        <w:rPr>
          <w:spacing w:val="-4"/>
        </w:rPr>
        <w:t>engage with </w:t>
      </w:r>
      <w:r>
        <w:rPr>
          <w:spacing w:val="-3"/>
        </w:rPr>
        <w:t>TII with </w:t>
      </w:r>
      <w:r>
        <w:rPr/>
        <w:t>a </w:t>
      </w:r>
      <w:r>
        <w:rPr>
          <w:spacing w:val="-3"/>
        </w:rPr>
        <w:t>view </w:t>
      </w:r>
      <w:r>
        <w:rPr/>
        <w:t>to </w:t>
      </w:r>
      <w:r>
        <w:rPr>
          <w:spacing w:val="-4"/>
        </w:rPr>
        <w:t>refunding this </w:t>
      </w:r>
      <w:r>
        <w:rPr>
          <w:spacing w:val="-3"/>
        </w:rPr>
        <w:t>sum or seek </w:t>
      </w:r>
      <w:r>
        <w:rPr>
          <w:spacing w:val="-4"/>
        </w:rPr>
        <w:t>agreement </w:t>
      </w:r>
      <w:r>
        <w:rPr>
          <w:spacing w:val="-3"/>
        </w:rPr>
        <w:t>to </w:t>
      </w:r>
      <w:r>
        <w:rPr>
          <w:spacing w:val="-4"/>
        </w:rPr>
        <w:t>utilise </w:t>
      </w:r>
      <w:r>
        <w:rPr>
          <w:spacing w:val="-3"/>
        </w:rPr>
        <w:t>these </w:t>
      </w:r>
      <w:r>
        <w:rPr>
          <w:spacing w:val="-4"/>
        </w:rPr>
        <w:t>funds </w:t>
      </w:r>
      <w:r>
        <w:rPr/>
        <w:t>for </w:t>
      </w:r>
      <w:r>
        <w:rPr>
          <w:spacing w:val="-4"/>
        </w:rPr>
        <w:t>other roads projects.</w:t>
      </w:r>
    </w:p>
    <w:p>
      <w:pPr>
        <w:pStyle w:val="BodyText"/>
        <w:spacing w:before="1"/>
      </w:pPr>
    </w:p>
    <w:p>
      <w:pPr>
        <w:pStyle w:val="Heading2"/>
        <w:spacing w:before="1"/>
        <w:ind w:left="826" w:firstLine="0"/>
      </w:pPr>
      <w:r>
        <w:rPr/>
        <w:t>Chief Executive’s Response</w:t>
      </w:r>
    </w:p>
    <w:p>
      <w:pPr>
        <w:pStyle w:val="BodyText"/>
        <w:spacing w:before="10"/>
        <w:rPr>
          <w:b/>
          <w:sz w:val="21"/>
        </w:rPr>
      </w:pPr>
    </w:p>
    <w:p>
      <w:pPr>
        <w:pStyle w:val="BodyText"/>
        <w:ind w:left="826" w:right="490"/>
      </w:pPr>
      <w:r>
        <w:rPr/>
        <w:t>The </w:t>
      </w:r>
      <w:r>
        <w:rPr>
          <w:spacing w:val="-4"/>
        </w:rPr>
        <w:t>Council </w:t>
      </w:r>
      <w:r>
        <w:rPr/>
        <w:t>is </w:t>
      </w:r>
      <w:r>
        <w:rPr>
          <w:spacing w:val="-4"/>
        </w:rPr>
        <w:t>currently engaged </w:t>
      </w:r>
      <w:r>
        <w:rPr>
          <w:spacing w:val="-3"/>
        </w:rPr>
        <w:t>with </w:t>
      </w:r>
      <w:r>
        <w:rPr>
          <w:spacing w:val="-4"/>
        </w:rPr>
        <w:t>Transport Infrastructure Ireland </w:t>
      </w:r>
      <w:r>
        <w:rPr>
          <w:spacing w:val="-3"/>
        </w:rPr>
        <w:t>in </w:t>
      </w:r>
      <w:r>
        <w:rPr>
          <w:spacing w:val="-4"/>
        </w:rPr>
        <w:t>relation </w:t>
      </w:r>
      <w:r>
        <w:rPr>
          <w:spacing w:val="-3"/>
        </w:rPr>
        <w:t>to </w:t>
      </w:r>
      <w:r>
        <w:rPr>
          <w:spacing w:val="-4"/>
        </w:rPr>
        <w:t>this matter. </w:t>
      </w:r>
      <w:r>
        <w:rPr>
          <w:spacing w:val="-3"/>
        </w:rPr>
        <w:t>This should be </w:t>
      </w:r>
      <w:r>
        <w:rPr>
          <w:spacing w:val="-4"/>
        </w:rPr>
        <w:t>resolved </w:t>
      </w:r>
      <w:r>
        <w:rPr>
          <w:spacing w:val="-3"/>
        </w:rPr>
        <w:t>by the </w:t>
      </w:r>
      <w:r>
        <w:rPr/>
        <w:t>end of </w:t>
      </w:r>
      <w:r>
        <w:rPr>
          <w:spacing w:val="-4"/>
        </w:rPr>
        <w:t>2017.</w:t>
      </w:r>
    </w:p>
    <w:p>
      <w:pPr>
        <w:pStyle w:val="BodyText"/>
        <w:spacing w:before="9"/>
        <w:rPr>
          <w:sz w:val="21"/>
        </w:rPr>
      </w:pPr>
    </w:p>
    <w:p>
      <w:pPr>
        <w:pStyle w:val="Heading2"/>
        <w:numPr>
          <w:ilvl w:val="1"/>
          <w:numId w:val="3"/>
        </w:numPr>
        <w:tabs>
          <w:tab w:pos="837" w:val="left" w:leader="none"/>
          <w:tab w:pos="838" w:val="left" w:leader="none"/>
        </w:tabs>
        <w:spacing w:line="240" w:lineRule="auto" w:before="1" w:after="0"/>
        <w:ind w:left="838" w:right="0" w:hanging="720"/>
        <w:jc w:val="left"/>
      </w:pPr>
      <w:r>
        <w:rPr>
          <w:spacing w:val="-4"/>
        </w:rPr>
        <w:t>Butlersbridge </w:t>
      </w:r>
      <w:r>
        <w:rPr/>
        <w:t>/ </w:t>
      </w:r>
      <w:r>
        <w:rPr>
          <w:spacing w:val="-4"/>
        </w:rPr>
        <w:t>Belturbet Road Improvement</w:t>
      </w:r>
      <w:r>
        <w:rPr>
          <w:spacing w:val="20"/>
        </w:rPr>
        <w:t> </w:t>
      </w:r>
      <w:r>
        <w:rPr>
          <w:spacing w:val="-4"/>
        </w:rPr>
        <w:t>Scheme</w:t>
      </w:r>
    </w:p>
    <w:p>
      <w:pPr>
        <w:pStyle w:val="BodyText"/>
        <w:spacing w:before="1"/>
        <w:rPr>
          <w:b/>
        </w:rPr>
      </w:pPr>
    </w:p>
    <w:p>
      <w:pPr>
        <w:pStyle w:val="BodyText"/>
        <w:ind w:left="838" w:right="340"/>
      </w:pPr>
      <w:r>
        <w:rPr/>
        <w:t>It was highlighted in previous audit reports that the approved tender contract for this scheme was €26.3m. However, included in the final account received from the contractor was an additional amount of €27.5m in excess of the approved tender price, due to a number of additional claims submitted by the contractor which were disputed by the Council.</w:t>
      </w:r>
    </w:p>
    <w:p>
      <w:pPr>
        <w:spacing w:after="0"/>
        <w:sectPr>
          <w:pgSz w:w="11910" w:h="16840"/>
          <w:pgMar w:header="0" w:footer="447" w:top="1320" w:bottom="640" w:left="1680" w:right="1680"/>
        </w:sectPr>
      </w:pPr>
    </w:p>
    <w:p>
      <w:pPr>
        <w:pStyle w:val="BodyText"/>
        <w:spacing w:before="78"/>
        <w:ind w:left="838" w:right="209"/>
      </w:pPr>
      <w:r>
        <w:rPr/>
        <w:t>In November 2016, a conciliation hearing was held to address all claims submitted by the contractor. As a result, in December 2016, the conciliator recommended that a payment be made to the contractor of €2.44m in full and final settlement of all claims. Total legal and other professional costs incurred on this project by the Council, in relation to all claims associated with this contractor, amounted to €2.42m. These costs, as well as the payment made to the contractor are being funded by TII.</w:t>
      </w:r>
    </w:p>
    <w:p>
      <w:pPr>
        <w:pStyle w:val="BodyText"/>
        <w:spacing w:before="10"/>
        <w:rPr>
          <w:sz w:val="21"/>
        </w:rPr>
      </w:pPr>
    </w:p>
    <w:p>
      <w:pPr>
        <w:pStyle w:val="Heading2"/>
        <w:ind w:left="886" w:firstLine="0"/>
      </w:pPr>
      <w:r>
        <w:rPr/>
        <w:t>Chief Executive’s Response</w:t>
      </w:r>
    </w:p>
    <w:p>
      <w:pPr>
        <w:pStyle w:val="BodyText"/>
        <w:spacing w:before="10"/>
        <w:rPr>
          <w:b/>
          <w:sz w:val="21"/>
        </w:rPr>
      </w:pPr>
    </w:p>
    <w:p>
      <w:pPr>
        <w:pStyle w:val="BodyText"/>
        <w:ind w:left="838"/>
      </w:pPr>
      <w:r>
        <w:rPr/>
        <w:t>The position is as outlined by the Local Government Auditor and this scheme is now completed.</w:t>
      </w:r>
    </w:p>
    <w:p>
      <w:pPr>
        <w:pStyle w:val="BodyText"/>
      </w:pPr>
    </w:p>
    <w:p>
      <w:pPr>
        <w:pStyle w:val="Heading2"/>
        <w:numPr>
          <w:ilvl w:val="0"/>
          <w:numId w:val="3"/>
        </w:numPr>
        <w:tabs>
          <w:tab w:pos="837" w:val="left" w:leader="none"/>
          <w:tab w:pos="838" w:val="left" w:leader="none"/>
        </w:tabs>
        <w:spacing w:line="240" w:lineRule="auto" w:before="1" w:after="0"/>
        <w:ind w:left="838" w:right="0" w:hanging="720"/>
        <w:jc w:val="left"/>
      </w:pPr>
      <w:r>
        <w:rPr>
          <w:spacing w:val="-4"/>
        </w:rPr>
        <w:t>Accounting </w:t>
      </w:r>
      <w:r>
        <w:rPr/>
        <w:t>for the </w:t>
      </w:r>
      <w:r>
        <w:rPr>
          <w:spacing w:val="-4"/>
        </w:rPr>
        <w:t>Provision </w:t>
      </w:r>
      <w:r>
        <w:rPr/>
        <w:t>of </w:t>
      </w:r>
      <w:r>
        <w:rPr>
          <w:spacing w:val="-4"/>
        </w:rPr>
        <w:t>Housing </w:t>
      </w:r>
      <w:r>
        <w:rPr/>
        <w:t>by </w:t>
      </w:r>
      <w:r>
        <w:rPr>
          <w:spacing w:val="-4"/>
        </w:rPr>
        <w:t>Approved Housing Bodies</w:t>
      </w:r>
      <w:r>
        <w:rPr>
          <w:spacing w:val="-16"/>
        </w:rPr>
        <w:t> </w:t>
      </w:r>
      <w:r>
        <w:rPr>
          <w:spacing w:val="-4"/>
        </w:rPr>
        <w:t>(AHBs)</w:t>
      </w:r>
    </w:p>
    <w:p>
      <w:pPr>
        <w:pStyle w:val="BodyText"/>
        <w:spacing w:before="11"/>
        <w:rPr>
          <w:b/>
          <w:sz w:val="21"/>
        </w:rPr>
      </w:pPr>
    </w:p>
    <w:p>
      <w:pPr>
        <w:pStyle w:val="BodyText"/>
        <w:ind w:left="838" w:right="680"/>
      </w:pPr>
      <w:r>
        <w:rPr/>
        <w:t>A </w:t>
      </w:r>
      <w:r>
        <w:rPr>
          <w:spacing w:val="-3"/>
        </w:rPr>
        <w:t>review </w:t>
      </w:r>
      <w:r>
        <w:rPr/>
        <w:t>of </w:t>
      </w:r>
      <w:r>
        <w:rPr>
          <w:spacing w:val="-4"/>
        </w:rPr>
        <w:t>controls </w:t>
      </w:r>
      <w:r>
        <w:rPr/>
        <w:t>in </w:t>
      </w:r>
      <w:r>
        <w:rPr>
          <w:spacing w:val="-3"/>
        </w:rPr>
        <w:t>place with </w:t>
      </w:r>
      <w:r>
        <w:rPr>
          <w:spacing w:val="-4"/>
        </w:rPr>
        <w:t>regard </w:t>
      </w:r>
      <w:r>
        <w:rPr/>
        <w:t>to </w:t>
      </w:r>
      <w:r>
        <w:rPr>
          <w:spacing w:val="-4"/>
        </w:rPr>
        <w:t>accounting </w:t>
      </w:r>
      <w:r>
        <w:rPr>
          <w:spacing w:val="-3"/>
        </w:rPr>
        <w:t>for the </w:t>
      </w:r>
      <w:r>
        <w:rPr>
          <w:spacing w:val="-4"/>
        </w:rPr>
        <w:t>provision </w:t>
      </w:r>
      <w:r>
        <w:rPr/>
        <w:t>of </w:t>
      </w:r>
      <w:r>
        <w:rPr>
          <w:spacing w:val="-4"/>
        </w:rPr>
        <w:t>housing </w:t>
      </w:r>
      <w:r>
        <w:rPr/>
        <w:t>by </w:t>
      </w:r>
      <w:r>
        <w:rPr>
          <w:spacing w:val="-3"/>
        </w:rPr>
        <w:t>AHBs </w:t>
      </w:r>
      <w:r>
        <w:rPr>
          <w:spacing w:val="-4"/>
        </w:rPr>
        <w:t>highlighted significant weaknesses including </w:t>
      </w:r>
      <w:r>
        <w:rPr>
          <w:spacing w:val="-3"/>
        </w:rPr>
        <w:t>the </w:t>
      </w:r>
      <w:r>
        <w:rPr>
          <w:spacing w:val="-4"/>
        </w:rPr>
        <w:t>following:</w:t>
      </w:r>
    </w:p>
    <w:p>
      <w:pPr>
        <w:pStyle w:val="BodyText"/>
        <w:rPr>
          <w:sz w:val="25"/>
        </w:rPr>
      </w:pPr>
    </w:p>
    <w:p>
      <w:pPr>
        <w:pStyle w:val="ListParagraph"/>
        <w:numPr>
          <w:ilvl w:val="0"/>
          <w:numId w:val="5"/>
        </w:numPr>
        <w:tabs>
          <w:tab w:pos="1557" w:val="left" w:leader="none"/>
          <w:tab w:pos="1558" w:val="left" w:leader="none"/>
        </w:tabs>
        <w:spacing w:line="223" w:lineRule="auto" w:before="0" w:after="0"/>
        <w:ind w:left="1558" w:right="282" w:hanging="360"/>
        <w:jc w:val="left"/>
        <w:rPr>
          <w:sz w:val="22"/>
        </w:rPr>
      </w:pPr>
      <w:r>
        <w:rPr>
          <w:spacing w:val="-3"/>
          <w:sz w:val="22"/>
        </w:rPr>
        <w:t>There was no </w:t>
      </w:r>
      <w:r>
        <w:rPr>
          <w:spacing w:val="-4"/>
          <w:sz w:val="22"/>
        </w:rPr>
        <w:t>management information system which maintains details </w:t>
      </w:r>
      <w:r>
        <w:rPr>
          <w:spacing w:val="-3"/>
          <w:sz w:val="22"/>
        </w:rPr>
        <w:t>of all </w:t>
      </w:r>
      <w:r>
        <w:rPr>
          <w:spacing w:val="-4"/>
          <w:sz w:val="22"/>
        </w:rPr>
        <w:t>properties provided </w:t>
      </w:r>
      <w:r>
        <w:rPr>
          <w:spacing w:val="-3"/>
          <w:sz w:val="22"/>
        </w:rPr>
        <w:t>by</w:t>
      </w:r>
      <w:r>
        <w:rPr>
          <w:spacing w:val="2"/>
          <w:sz w:val="22"/>
        </w:rPr>
        <w:t> </w:t>
      </w:r>
      <w:r>
        <w:rPr>
          <w:spacing w:val="-3"/>
          <w:sz w:val="22"/>
        </w:rPr>
        <w:t>AHBs</w:t>
      </w:r>
    </w:p>
    <w:p>
      <w:pPr>
        <w:pStyle w:val="ListParagraph"/>
        <w:numPr>
          <w:ilvl w:val="0"/>
          <w:numId w:val="5"/>
        </w:numPr>
        <w:tabs>
          <w:tab w:pos="1557" w:val="left" w:leader="none"/>
          <w:tab w:pos="1558" w:val="left" w:leader="none"/>
        </w:tabs>
        <w:spacing w:line="240" w:lineRule="auto" w:before="42" w:after="0"/>
        <w:ind w:left="1558" w:right="0" w:hanging="360"/>
        <w:jc w:val="left"/>
        <w:rPr>
          <w:sz w:val="22"/>
        </w:rPr>
      </w:pPr>
      <w:r>
        <w:rPr>
          <w:spacing w:val="-4"/>
          <w:sz w:val="22"/>
        </w:rPr>
        <w:t>Amounts </w:t>
      </w:r>
      <w:r>
        <w:rPr>
          <w:spacing w:val="-3"/>
          <w:sz w:val="22"/>
        </w:rPr>
        <w:t>paid </w:t>
      </w:r>
      <w:r>
        <w:rPr>
          <w:sz w:val="22"/>
        </w:rPr>
        <w:t>to </w:t>
      </w:r>
      <w:r>
        <w:rPr>
          <w:spacing w:val="-4"/>
          <w:sz w:val="22"/>
        </w:rPr>
        <w:t>AHBs </w:t>
      </w:r>
      <w:r>
        <w:rPr>
          <w:sz w:val="22"/>
        </w:rPr>
        <w:t>in </w:t>
      </w:r>
      <w:r>
        <w:rPr>
          <w:spacing w:val="-3"/>
          <w:sz w:val="22"/>
        </w:rPr>
        <w:t>the </w:t>
      </w:r>
      <w:r>
        <w:rPr>
          <w:spacing w:val="-4"/>
          <w:sz w:val="22"/>
        </w:rPr>
        <w:t>form </w:t>
      </w:r>
      <w:r>
        <w:rPr>
          <w:sz w:val="22"/>
        </w:rPr>
        <w:t>of </w:t>
      </w:r>
      <w:r>
        <w:rPr>
          <w:spacing w:val="-3"/>
          <w:sz w:val="22"/>
        </w:rPr>
        <w:t>loans were not </w:t>
      </w:r>
      <w:r>
        <w:rPr>
          <w:spacing w:val="-4"/>
          <w:sz w:val="22"/>
        </w:rPr>
        <w:t>recorded </w:t>
      </w:r>
      <w:r>
        <w:rPr>
          <w:spacing w:val="-3"/>
          <w:sz w:val="22"/>
        </w:rPr>
        <w:t>in the</w:t>
      </w:r>
      <w:r>
        <w:rPr>
          <w:spacing w:val="-19"/>
          <w:sz w:val="22"/>
        </w:rPr>
        <w:t> </w:t>
      </w:r>
      <w:r>
        <w:rPr>
          <w:spacing w:val="-4"/>
          <w:sz w:val="22"/>
        </w:rPr>
        <w:t>accounts</w:t>
      </w:r>
    </w:p>
    <w:p>
      <w:pPr>
        <w:pStyle w:val="ListParagraph"/>
        <w:numPr>
          <w:ilvl w:val="0"/>
          <w:numId w:val="5"/>
        </w:numPr>
        <w:tabs>
          <w:tab w:pos="1557" w:val="left" w:leader="none"/>
          <w:tab w:pos="1558" w:val="left" w:leader="none"/>
        </w:tabs>
        <w:spacing w:line="223" w:lineRule="auto" w:before="44" w:after="0"/>
        <w:ind w:left="1558" w:right="807" w:hanging="360"/>
        <w:jc w:val="left"/>
        <w:rPr>
          <w:sz w:val="22"/>
        </w:rPr>
      </w:pPr>
      <w:r>
        <w:rPr>
          <w:spacing w:val="-3"/>
          <w:sz w:val="22"/>
        </w:rPr>
        <w:t>Annual </w:t>
      </w:r>
      <w:r>
        <w:rPr>
          <w:spacing w:val="-4"/>
          <w:sz w:val="22"/>
        </w:rPr>
        <w:t>statements </w:t>
      </w:r>
      <w:r>
        <w:rPr>
          <w:spacing w:val="-3"/>
          <w:sz w:val="22"/>
        </w:rPr>
        <w:t>of </w:t>
      </w:r>
      <w:r>
        <w:rPr>
          <w:spacing w:val="-4"/>
          <w:sz w:val="22"/>
        </w:rPr>
        <w:t>occupancy </w:t>
      </w:r>
      <w:r>
        <w:rPr>
          <w:spacing w:val="-3"/>
          <w:sz w:val="22"/>
        </w:rPr>
        <w:t>were not </w:t>
      </w:r>
      <w:r>
        <w:rPr>
          <w:spacing w:val="-4"/>
          <w:sz w:val="22"/>
        </w:rPr>
        <w:t>obtained from each </w:t>
      </w:r>
      <w:r>
        <w:rPr>
          <w:spacing w:val="-3"/>
          <w:sz w:val="22"/>
        </w:rPr>
        <w:t>AHB in </w:t>
      </w:r>
      <w:r>
        <w:rPr>
          <w:spacing w:val="-4"/>
          <w:sz w:val="22"/>
        </w:rPr>
        <w:t>respect </w:t>
      </w:r>
      <w:r>
        <w:rPr>
          <w:sz w:val="22"/>
        </w:rPr>
        <w:t>of </w:t>
      </w:r>
      <w:r>
        <w:rPr>
          <w:spacing w:val="-4"/>
          <w:sz w:val="22"/>
        </w:rPr>
        <w:t>properties funded </w:t>
      </w:r>
      <w:r>
        <w:rPr>
          <w:spacing w:val="-3"/>
          <w:sz w:val="22"/>
        </w:rPr>
        <w:t>by the</w:t>
      </w:r>
      <w:r>
        <w:rPr>
          <w:spacing w:val="11"/>
          <w:sz w:val="22"/>
        </w:rPr>
        <w:t> </w:t>
      </w:r>
      <w:r>
        <w:rPr>
          <w:spacing w:val="-4"/>
          <w:sz w:val="22"/>
        </w:rPr>
        <w:t>Council</w:t>
      </w:r>
    </w:p>
    <w:p>
      <w:pPr>
        <w:pStyle w:val="ListParagraph"/>
        <w:numPr>
          <w:ilvl w:val="0"/>
          <w:numId w:val="5"/>
        </w:numPr>
        <w:tabs>
          <w:tab w:pos="1557" w:val="left" w:leader="none"/>
          <w:tab w:pos="1558" w:val="left" w:leader="none"/>
        </w:tabs>
        <w:spacing w:line="223" w:lineRule="auto" w:before="63" w:after="0"/>
        <w:ind w:left="1558" w:right="523" w:hanging="360"/>
        <w:jc w:val="left"/>
        <w:rPr>
          <w:sz w:val="22"/>
        </w:rPr>
      </w:pPr>
      <w:r>
        <w:rPr>
          <w:spacing w:val="-3"/>
          <w:sz w:val="22"/>
        </w:rPr>
        <w:t>There were no </w:t>
      </w:r>
      <w:r>
        <w:rPr>
          <w:spacing w:val="-4"/>
          <w:sz w:val="22"/>
        </w:rPr>
        <w:t>records maintained </w:t>
      </w:r>
      <w:r>
        <w:rPr>
          <w:sz w:val="22"/>
        </w:rPr>
        <w:t>of </w:t>
      </w:r>
      <w:r>
        <w:rPr>
          <w:spacing w:val="-4"/>
          <w:sz w:val="22"/>
        </w:rPr>
        <w:t>details </w:t>
      </w:r>
      <w:r>
        <w:rPr>
          <w:sz w:val="22"/>
        </w:rPr>
        <w:t>of </w:t>
      </w:r>
      <w:r>
        <w:rPr>
          <w:spacing w:val="-4"/>
          <w:sz w:val="22"/>
        </w:rPr>
        <w:t>property inspections </w:t>
      </w:r>
      <w:r>
        <w:rPr>
          <w:sz w:val="22"/>
        </w:rPr>
        <w:t>to </w:t>
      </w:r>
      <w:r>
        <w:rPr>
          <w:spacing w:val="-3"/>
          <w:sz w:val="22"/>
        </w:rPr>
        <w:t>review </w:t>
      </w:r>
      <w:r>
        <w:rPr>
          <w:spacing w:val="-4"/>
          <w:sz w:val="22"/>
        </w:rPr>
        <w:t>tenant nominations </w:t>
      </w:r>
      <w:r>
        <w:rPr>
          <w:spacing w:val="-3"/>
          <w:sz w:val="22"/>
        </w:rPr>
        <w:t>and</w:t>
      </w:r>
      <w:r>
        <w:rPr>
          <w:spacing w:val="10"/>
          <w:sz w:val="22"/>
        </w:rPr>
        <w:t> </w:t>
      </w:r>
      <w:r>
        <w:rPr>
          <w:spacing w:val="-4"/>
          <w:sz w:val="22"/>
        </w:rPr>
        <w:t>vacancies</w:t>
      </w:r>
    </w:p>
    <w:p>
      <w:pPr>
        <w:pStyle w:val="ListParagraph"/>
        <w:numPr>
          <w:ilvl w:val="0"/>
          <w:numId w:val="5"/>
        </w:numPr>
        <w:tabs>
          <w:tab w:pos="1557" w:val="left" w:leader="none"/>
          <w:tab w:pos="1558" w:val="left" w:leader="none"/>
        </w:tabs>
        <w:spacing w:line="270" w:lineRule="exact" w:before="42" w:after="0"/>
        <w:ind w:left="1558" w:right="0" w:hanging="360"/>
        <w:jc w:val="left"/>
        <w:rPr>
          <w:sz w:val="22"/>
        </w:rPr>
      </w:pPr>
      <w:r>
        <w:rPr>
          <w:spacing w:val="-3"/>
          <w:sz w:val="22"/>
        </w:rPr>
        <w:t>There were no </w:t>
      </w:r>
      <w:r>
        <w:rPr>
          <w:spacing w:val="-4"/>
          <w:sz w:val="22"/>
        </w:rPr>
        <w:t>periodic inspections </w:t>
      </w:r>
      <w:r>
        <w:rPr>
          <w:spacing w:val="-3"/>
          <w:sz w:val="22"/>
        </w:rPr>
        <w:t>of </w:t>
      </w:r>
      <w:r>
        <w:rPr>
          <w:spacing w:val="-4"/>
          <w:sz w:val="22"/>
        </w:rPr>
        <w:t>properties carried</w:t>
      </w:r>
      <w:r>
        <w:rPr>
          <w:spacing w:val="15"/>
          <w:sz w:val="22"/>
        </w:rPr>
        <w:t> </w:t>
      </w:r>
      <w:r>
        <w:rPr>
          <w:spacing w:val="-3"/>
          <w:sz w:val="22"/>
        </w:rPr>
        <w:t>out</w:t>
      </w:r>
    </w:p>
    <w:p>
      <w:pPr>
        <w:pStyle w:val="ListParagraph"/>
        <w:numPr>
          <w:ilvl w:val="0"/>
          <w:numId w:val="5"/>
        </w:numPr>
        <w:tabs>
          <w:tab w:pos="1557" w:val="left" w:leader="none"/>
          <w:tab w:pos="1558" w:val="left" w:leader="none"/>
        </w:tabs>
        <w:spacing w:line="223" w:lineRule="auto" w:before="17" w:after="0"/>
        <w:ind w:left="1558" w:right="830" w:hanging="360"/>
        <w:jc w:val="left"/>
        <w:rPr>
          <w:sz w:val="22"/>
        </w:rPr>
      </w:pPr>
      <w:r>
        <w:rPr>
          <w:spacing w:val="-4"/>
          <w:sz w:val="22"/>
        </w:rPr>
        <w:t>Audited financial statements </w:t>
      </w:r>
      <w:r>
        <w:rPr>
          <w:spacing w:val="-3"/>
          <w:sz w:val="22"/>
        </w:rPr>
        <w:t>of AHBs were not </w:t>
      </w:r>
      <w:r>
        <w:rPr>
          <w:spacing w:val="-4"/>
          <w:sz w:val="22"/>
        </w:rPr>
        <w:t>obtained </w:t>
      </w:r>
      <w:r>
        <w:rPr>
          <w:sz w:val="22"/>
        </w:rPr>
        <w:t>and </w:t>
      </w:r>
      <w:r>
        <w:rPr>
          <w:spacing w:val="-4"/>
          <w:sz w:val="22"/>
        </w:rPr>
        <w:t>reviewed </w:t>
      </w:r>
      <w:r>
        <w:rPr>
          <w:spacing w:val="-3"/>
          <w:sz w:val="22"/>
        </w:rPr>
        <w:t>to </w:t>
      </w:r>
      <w:r>
        <w:rPr>
          <w:spacing w:val="-4"/>
          <w:sz w:val="22"/>
        </w:rPr>
        <w:t>ensure accountability </w:t>
      </w:r>
      <w:r>
        <w:rPr>
          <w:sz w:val="22"/>
        </w:rPr>
        <w:t>in </w:t>
      </w:r>
      <w:r>
        <w:rPr>
          <w:spacing w:val="-3"/>
          <w:sz w:val="22"/>
        </w:rPr>
        <w:t>the </w:t>
      </w:r>
      <w:r>
        <w:rPr>
          <w:spacing w:val="-4"/>
          <w:sz w:val="22"/>
        </w:rPr>
        <w:t>management </w:t>
      </w:r>
      <w:r>
        <w:rPr>
          <w:sz w:val="22"/>
        </w:rPr>
        <w:t>of </w:t>
      </w:r>
      <w:r>
        <w:rPr>
          <w:spacing w:val="-4"/>
          <w:sz w:val="22"/>
        </w:rPr>
        <w:t>grants received </w:t>
      </w:r>
      <w:r>
        <w:rPr>
          <w:spacing w:val="-3"/>
          <w:sz w:val="22"/>
        </w:rPr>
        <w:t>from the</w:t>
      </w:r>
      <w:r>
        <w:rPr>
          <w:spacing w:val="5"/>
          <w:sz w:val="22"/>
        </w:rPr>
        <w:t> </w:t>
      </w:r>
      <w:r>
        <w:rPr>
          <w:spacing w:val="-4"/>
          <w:sz w:val="22"/>
        </w:rPr>
        <w:t>Council.</w:t>
      </w:r>
    </w:p>
    <w:p>
      <w:pPr>
        <w:pStyle w:val="BodyText"/>
      </w:pPr>
    </w:p>
    <w:p>
      <w:pPr>
        <w:pStyle w:val="Heading2"/>
        <w:spacing w:before="1"/>
        <w:ind w:firstLine="0"/>
      </w:pPr>
      <w:r>
        <w:rPr/>
        <w:t>Chief Executive’s Response</w:t>
      </w:r>
    </w:p>
    <w:p>
      <w:pPr>
        <w:pStyle w:val="BodyText"/>
        <w:spacing w:before="7"/>
        <w:rPr>
          <w:b/>
          <w:sz w:val="24"/>
        </w:rPr>
      </w:pPr>
    </w:p>
    <w:p>
      <w:pPr>
        <w:pStyle w:val="ListParagraph"/>
        <w:numPr>
          <w:ilvl w:val="0"/>
          <w:numId w:val="5"/>
        </w:numPr>
        <w:tabs>
          <w:tab w:pos="1557" w:val="left" w:leader="none"/>
          <w:tab w:pos="1558" w:val="left" w:leader="none"/>
        </w:tabs>
        <w:spacing w:line="225" w:lineRule="auto" w:before="0" w:after="0"/>
        <w:ind w:left="1589" w:right="806" w:hanging="360"/>
        <w:jc w:val="left"/>
        <w:rPr>
          <w:sz w:val="22"/>
        </w:rPr>
      </w:pPr>
      <w:r>
        <w:rPr>
          <w:sz w:val="22"/>
        </w:rPr>
        <w:t>The preparation of a management information system in respect of properties provided by AHB’s is currently being</w:t>
      </w:r>
      <w:r>
        <w:rPr>
          <w:spacing w:val="-28"/>
          <w:sz w:val="22"/>
        </w:rPr>
        <w:t> </w:t>
      </w:r>
      <w:r>
        <w:rPr>
          <w:sz w:val="22"/>
        </w:rPr>
        <w:t>undertaken</w:t>
      </w:r>
    </w:p>
    <w:p>
      <w:pPr>
        <w:pStyle w:val="ListParagraph"/>
        <w:numPr>
          <w:ilvl w:val="0"/>
          <w:numId w:val="5"/>
        </w:numPr>
        <w:tabs>
          <w:tab w:pos="1557" w:val="left" w:leader="none"/>
          <w:tab w:pos="1558" w:val="left" w:leader="none"/>
        </w:tabs>
        <w:spacing w:line="269" w:lineRule="exact" w:before="14" w:after="0"/>
        <w:ind w:left="1558" w:right="0" w:hanging="329"/>
        <w:jc w:val="left"/>
        <w:rPr>
          <w:sz w:val="22"/>
        </w:rPr>
      </w:pPr>
      <w:r>
        <w:rPr>
          <w:sz w:val="22"/>
        </w:rPr>
        <w:t>The recording of loans to AHB’s is currently being</w:t>
      </w:r>
      <w:r>
        <w:rPr>
          <w:spacing w:val="-31"/>
          <w:sz w:val="22"/>
        </w:rPr>
        <w:t> </w:t>
      </w:r>
      <w:r>
        <w:rPr>
          <w:sz w:val="22"/>
        </w:rPr>
        <w:t>addressed</w:t>
      </w:r>
    </w:p>
    <w:p>
      <w:pPr>
        <w:pStyle w:val="ListParagraph"/>
        <w:numPr>
          <w:ilvl w:val="0"/>
          <w:numId w:val="5"/>
        </w:numPr>
        <w:tabs>
          <w:tab w:pos="1557" w:val="left" w:leader="none"/>
          <w:tab w:pos="1558" w:val="left" w:leader="none"/>
        </w:tabs>
        <w:spacing w:line="225" w:lineRule="auto" w:before="13" w:after="0"/>
        <w:ind w:left="1589" w:right="256" w:hanging="360"/>
        <w:jc w:val="left"/>
        <w:rPr>
          <w:sz w:val="22"/>
        </w:rPr>
      </w:pPr>
      <w:r>
        <w:rPr>
          <w:sz w:val="22"/>
        </w:rPr>
        <w:t>Statements of occupancy are obtained when the invoice for payment is submitted by the</w:t>
      </w:r>
      <w:r>
        <w:rPr>
          <w:spacing w:val="-2"/>
          <w:sz w:val="22"/>
        </w:rPr>
        <w:t> </w:t>
      </w:r>
      <w:r>
        <w:rPr>
          <w:sz w:val="22"/>
        </w:rPr>
        <w:t>AHB</w:t>
      </w:r>
    </w:p>
    <w:p>
      <w:pPr>
        <w:pStyle w:val="ListParagraph"/>
        <w:numPr>
          <w:ilvl w:val="0"/>
          <w:numId w:val="5"/>
        </w:numPr>
        <w:tabs>
          <w:tab w:pos="1557" w:val="left" w:leader="none"/>
          <w:tab w:pos="1558" w:val="left" w:leader="none"/>
        </w:tabs>
        <w:spacing w:line="223" w:lineRule="auto" w:before="32" w:after="0"/>
        <w:ind w:left="1589" w:right="138" w:hanging="360"/>
        <w:jc w:val="left"/>
        <w:rPr>
          <w:sz w:val="22"/>
        </w:rPr>
      </w:pPr>
      <w:r>
        <w:rPr>
          <w:sz w:val="22"/>
        </w:rPr>
        <w:t>The issue of inspection of properties is being reviewed in light of the increased activity in the AHB sector and available</w:t>
      </w:r>
      <w:r>
        <w:rPr>
          <w:spacing w:val="-20"/>
          <w:sz w:val="22"/>
        </w:rPr>
        <w:t> </w:t>
      </w:r>
      <w:r>
        <w:rPr>
          <w:sz w:val="22"/>
        </w:rPr>
        <w:t>resources.</w:t>
      </w:r>
    </w:p>
    <w:p>
      <w:pPr>
        <w:pStyle w:val="BodyText"/>
        <w:spacing w:before="1"/>
      </w:pPr>
    </w:p>
    <w:p>
      <w:pPr>
        <w:pStyle w:val="Heading2"/>
        <w:numPr>
          <w:ilvl w:val="0"/>
          <w:numId w:val="3"/>
        </w:numPr>
        <w:tabs>
          <w:tab w:pos="825" w:val="left" w:leader="none"/>
          <w:tab w:pos="826" w:val="left" w:leader="none"/>
        </w:tabs>
        <w:spacing w:line="240" w:lineRule="auto" w:before="1" w:after="0"/>
        <w:ind w:left="826" w:right="789" w:hanging="708"/>
        <w:jc w:val="left"/>
      </w:pPr>
      <w:r>
        <w:rPr/>
        <w:t>Contractual Issues Pertaining to the Management of Gas Generated at Corranure Landfill</w:t>
      </w:r>
    </w:p>
    <w:p>
      <w:pPr>
        <w:pStyle w:val="BodyText"/>
        <w:spacing w:before="10"/>
        <w:rPr>
          <w:b/>
          <w:sz w:val="21"/>
        </w:rPr>
      </w:pPr>
    </w:p>
    <w:p>
      <w:pPr>
        <w:pStyle w:val="BodyText"/>
        <w:ind w:left="826" w:right="132"/>
      </w:pPr>
      <w:r>
        <w:rPr/>
        <w:t>A condition pertaining to the Council’s waste licence issued by the Environmental Protection Agency (EPA) is that the Council should manage the gas generated by the landfill at Corranure. In 2012, the Council entered into a 15 year agreement with a third party to convert gas to energy for supply to the national electricity grid. As a result of this condition the contractor is required to pay the Council, monthly in arrears, an amount dependent on the volume of gas generated at the site. However, no payments have been received by the Council from the contractor in respect of electricity generated at the landfill for the period November 2015 to date.</w:t>
      </w:r>
    </w:p>
    <w:p>
      <w:pPr>
        <w:pStyle w:val="BodyText"/>
        <w:spacing w:before="1"/>
      </w:pPr>
    </w:p>
    <w:p>
      <w:pPr>
        <w:pStyle w:val="Heading2"/>
        <w:ind w:firstLine="0"/>
      </w:pPr>
      <w:r>
        <w:rPr/>
        <w:t>Chief Executive’s Response</w:t>
      </w:r>
    </w:p>
    <w:p>
      <w:pPr>
        <w:pStyle w:val="BodyText"/>
        <w:spacing w:before="10"/>
        <w:rPr>
          <w:b/>
          <w:sz w:val="21"/>
        </w:rPr>
      </w:pPr>
    </w:p>
    <w:p>
      <w:pPr>
        <w:pStyle w:val="BodyText"/>
        <w:ind w:left="838" w:right="370"/>
      </w:pPr>
      <w:r>
        <w:rPr/>
        <w:t>The Council is in discussions with the relevant contractor to resolve this issue and to ensure timely submission of payments in the future.</w:t>
      </w:r>
    </w:p>
    <w:p>
      <w:pPr>
        <w:spacing w:after="0"/>
        <w:sectPr>
          <w:pgSz w:w="11910" w:h="16840"/>
          <w:pgMar w:header="0" w:footer="447" w:top="1320" w:bottom="640" w:left="1680" w:right="1680"/>
        </w:sectPr>
      </w:pPr>
    </w:p>
    <w:p>
      <w:pPr>
        <w:pStyle w:val="Heading2"/>
        <w:numPr>
          <w:ilvl w:val="0"/>
          <w:numId w:val="3"/>
        </w:numPr>
        <w:tabs>
          <w:tab w:pos="837" w:val="left" w:leader="none"/>
          <w:tab w:pos="838" w:val="left" w:leader="none"/>
        </w:tabs>
        <w:spacing w:line="240" w:lineRule="auto" w:before="78" w:after="0"/>
        <w:ind w:left="838" w:right="0" w:hanging="720"/>
        <w:jc w:val="left"/>
      </w:pPr>
      <w:r>
        <w:rPr>
          <w:spacing w:val="-4"/>
        </w:rPr>
        <w:t>Transfers </w:t>
      </w:r>
      <w:r>
        <w:rPr>
          <w:spacing w:val="-3"/>
        </w:rPr>
        <w:t>to</w:t>
      </w:r>
      <w:r>
        <w:rPr>
          <w:spacing w:val="7"/>
        </w:rPr>
        <w:t> </w:t>
      </w:r>
      <w:r>
        <w:rPr>
          <w:spacing w:val="-4"/>
        </w:rPr>
        <w:t>Reserves</w:t>
      </w:r>
    </w:p>
    <w:p>
      <w:pPr>
        <w:pStyle w:val="BodyText"/>
        <w:spacing w:before="10"/>
        <w:rPr>
          <w:b/>
          <w:sz w:val="21"/>
        </w:rPr>
      </w:pPr>
    </w:p>
    <w:p>
      <w:pPr>
        <w:pStyle w:val="BodyText"/>
        <w:ind w:left="838" w:right="74"/>
      </w:pPr>
      <w:r>
        <w:rPr>
          <w:spacing w:val="-4"/>
        </w:rPr>
        <w:t>Approval </w:t>
      </w:r>
      <w:r>
        <w:rPr>
          <w:spacing w:val="-3"/>
        </w:rPr>
        <w:t>was </w:t>
      </w:r>
      <w:r>
        <w:rPr>
          <w:spacing w:val="-4"/>
        </w:rPr>
        <w:t>obtained </w:t>
      </w:r>
      <w:r>
        <w:rPr>
          <w:spacing w:val="-3"/>
        </w:rPr>
        <w:t>to </w:t>
      </w:r>
      <w:r>
        <w:rPr>
          <w:spacing w:val="-4"/>
        </w:rPr>
        <w:t>transfer €4.1m </w:t>
      </w:r>
      <w:r>
        <w:rPr/>
        <w:t>to </w:t>
      </w:r>
      <w:r>
        <w:rPr>
          <w:spacing w:val="-4"/>
        </w:rPr>
        <w:t>reserves </w:t>
      </w:r>
      <w:r>
        <w:rPr>
          <w:spacing w:val="-3"/>
        </w:rPr>
        <w:t>and </w:t>
      </w:r>
      <w:r>
        <w:rPr/>
        <w:t>to </w:t>
      </w:r>
      <w:r>
        <w:rPr>
          <w:spacing w:val="-4"/>
        </w:rPr>
        <w:t>fund various projects specified </w:t>
      </w:r>
      <w:r>
        <w:rPr/>
        <w:t>to </w:t>
      </w:r>
      <w:r>
        <w:rPr>
          <w:spacing w:val="-3"/>
        </w:rPr>
        <w:t>the </w:t>
      </w:r>
      <w:r>
        <w:rPr>
          <w:spacing w:val="-4"/>
        </w:rPr>
        <w:t>members </w:t>
      </w:r>
      <w:r>
        <w:rPr>
          <w:spacing w:val="-3"/>
        </w:rPr>
        <w:t>at the </w:t>
      </w:r>
      <w:r>
        <w:rPr>
          <w:spacing w:val="-4"/>
        </w:rPr>
        <w:t>Council’s monthly meeting </w:t>
      </w:r>
      <w:r>
        <w:rPr>
          <w:spacing w:val="-3"/>
        </w:rPr>
        <w:t>in May of </w:t>
      </w:r>
      <w:r>
        <w:rPr>
          <w:spacing w:val="-4"/>
        </w:rPr>
        <w:t>this </w:t>
      </w:r>
      <w:r>
        <w:rPr>
          <w:spacing w:val="-3"/>
        </w:rPr>
        <w:t>year in </w:t>
      </w:r>
      <w:r>
        <w:rPr>
          <w:spacing w:val="-4"/>
        </w:rPr>
        <w:t>conjunction </w:t>
      </w:r>
      <w:r>
        <w:rPr>
          <w:spacing w:val="-3"/>
        </w:rPr>
        <w:t>with </w:t>
      </w:r>
      <w:r>
        <w:rPr/>
        <w:t>the </w:t>
      </w:r>
      <w:r>
        <w:rPr>
          <w:spacing w:val="-4"/>
        </w:rPr>
        <w:t>consideration </w:t>
      </w:r>
      <w:r>
        <w:rPr/>
        <w:t>of </w:t>
      </w:r>
      <w:r>
        <w:rPr>
          <w:spacing w:val="-3"/>
        </w:rPr>
        <w:t>the </w:t>
      </w:r>
      <w:r>
        <w:rPr>
          <w:spacing w:val="-4"/>
        </w:rPr>
        <w:t>draft 2016 AFS. However, </w:t>
      </w:r>
      <w:r>
        <w:rPr>
          <w:spacing w:val="-3"/>
        </w:rPr>
        <w:t>it was noted that </w:t>
      </w:r>
      <w:r>
        <w:rPr>
          <w:spacing w:val="-4"/>
        </w:rPr>
        <w:t>€1.769m </w:t>
      </w:r>
      <w:r>
        <w:rPr/>
        <w:t>of </w:t>
      </w:r>
      <w:r>
        <w:rPr>
          <w:spacing w:val="-4"/>
        </w:rPr>
        <w:t>this amount </w:t>
      </w:r>
      <w:r>
        <w:rPr>
          <w:spacing w:val="-3"/>
        </w:rPr>
        <w:t>was </w:t>
      </w:r>
      <w:r>
        <w:rPr>
          <w:spacing w:val="-4"/>
        </w:rPr>
        <w:t>transferred </w:t>
      </w:r>
      <w:r>
        <w:rPr>
          <w:spacing w:val="-3"/>
        </w:rPr>
        <w:t>to </w:t>
      </w:r>
      <w:r>
        <w:rPr/>
        <w:t>a </w:t>
      </w:r>
      <w:r>
        <w:rPr>
          <w:spacing w:val="-4"/>
        </w:rPr>
        <w:t>general miscellaneous capital reserve </w:t>
      </w:r>
      <w:r>
        <w:rPr/>
        <w:t>in </w:t>
      </w:r>
      <w:r>
        <w:rPr>
          <w:spacing w:val="-3"/>
        </w:rPr>
        <w:t>the </w:t>
      </w:r>
      <w:r>
        <w:rPr>
          <w:spacing w:val="-4"/>
        </w:rPr>
        <w:t>accounts. This amount </w:t>
      </w:r>
      <w:r>
        <w:rPr>
          <w:spacing w:val="-3"/>
        </w:rPr>
        <w:t>should </w:t>
      </w:r>
      <w:r>
        <w:rPr/>
        <w:t>be </w:t>
      </w:r>
      <w:r>
        <w:rPr>
          <w:spacing w:val="-4"/>
        </w:rPr>
        <w:t>allocated </w:t>
      </w:r>
      <w:r>
        <w:rPr/>
        <w:t>to </w:t>
      </w:r>
      <w:r>
        <w:rPr>
          <w:spacing w:val="-3"/>
        </w:rPr>
        <w:t>the various </w:t>
      </w:r>
      <w:r>
        <w:rPr>
          <w:spacing w:val="-4"/>
        </w:rPr>
        <w:t>reserves </w:t>
      </w:r>
      <w:r>
        <w:rPr>
          <w:spacing w:val="-3"/>
        </w:rPr>
        <w:t>as </w:t>
      </w:r>
      <w:r>
        <w:rPr>
          <w:spacing w:val="-4"/>
        </w:rPr>
        <w:t>approved </w:t>
      </w:r>
      <w:r>
        <w:rPr>
          <w:spacing w:val="-3"/>
        </w:rPr>
        <w:t>by the </w:t>
      </w:r>
      <w:r>
        <w:rPr>
          <w:spacing w:val="-4"/>
        </w:rPr>
        <w:t>members </w:t>
      </w:r>
      <w:r>
        <w:rPr>
          <w:spacing w:val="-3"/>
        </w:rPr>
        <w:t>(see </w:t>
      </w:r>
      <w:r>
        <w:rPr>
          <w:spacing w:val="-4"/>
        </w:rPr>
        <w:t>paragraph 4).</w:t>
      </w:r>
    </w:p>
    <w:p>
      <w:pPr>
        <w:pStyle w:val="BodyText"/>
        <w:spacing w:before="10"/>
        <w:rPr>
          <w:sz w:val="21"/>
        </w:rPr>
      </w:pPr>
    </w:p>
    <w:p>
      <w:pPr>
        <w:pStyle w:val="Heading2"/>
        <w:ind w:firstLine="0"/>
      </w:pPr>
      <w:r>
        <w:rPr/>
        <w:t>Chief Executive’s Response</w:t>
      </w:r>
    </w:p>
    <w:p>
      <w:pPr>
        <w:pStyle w:val="BodyText"/>
        <w:rPr>
          <w:b/>
        </w:rPr>
      </w:pPr>
    </w:p>
    <w:p>
      <w:pPr>
        <w:pStyle w:val="BodyText"/>
        <w:spacing w:before="1"/>
        <w:ind w:left="874"/>
      </w:pPr>
      <w:r>
        <w:rPr/>
        <w:t>The sum of €1.769 million will be allocated to relevant approved projects in 2017.</w:t>
      </w:r>
    </w:p>
    <w:p>
      <w:pPr>
        <w:pStyle w:val="BodyText"/>
        <w:spacing w:before="11"/>
        <w:rPr>
          <w:sz w:val="21"/>
        </w:rPr>
      </w:pPr>
    </w:p>
    <w:p>
      <w:pPr>
        <w:pStyle w:val="Heading2"/>
        <w:numPr>
          <w:ilvl w:val="0"/>
          <w:numId w:val="3"/>
        </w:numPr>
        <w:tabs>
          <w:tab w:pos="837" w:val="left" w:leader="none"/>
          <w:tab w:pos="838" w:val="left" w:leader="none"/>
        </w:tabs>
        <w:spacing w:line="240" w:lineRule="auto" w:before="0" w:after="0"/>
        <w:ind w:left="838" w:right="0" w:hanging="720"/>
        <w:jc w:val="left"/>
      </w:pPr>
      <w:r>
        <w:rPr>
          <w:spacing w:val="-3"/>
        </w:rPr>
        <w:t>Fixed</w:t>
      </w:r>
      <w:r>
        <w:rPr>
          <w:spacing w:val="2"/>
        </w:rPr>
        <w:t> </w:t>
      </w:r>
      <w:r>
        <w:rPr>
          <w:spacing w:val="-4"/>
        </w:rPr>
        <w:t>Assets</w:t>
      </w:r>
    </w:p>
    <w:p>
      <w:pPr>
        <w:pStyle w:val="BodyText"/>
        <w:spacing w:before="10"/>
        <w:rPr>
          <w:b/>
          <w:sz w:val="21"/>
        </w:rPr>
      </w:pPr>
    </w:p>
    <w:p>
      <w:pPr>
        <w:pStyle w:val="BodyText"/>
        <w:ind w:left="838" w:right="149"/>
      </w:pPr>
      <w:r>
        <w:rPr/>
        <w:t>A </w:t>
      </w:r>
      <w:r>
        <w:rPr>
          <w:spacing w:val="-3"/>
        </w:rPr>
        <w:t>review </w:t>
      </w:r>
      <w:r>
        <w:rPr/>
        <w:t>of </w:t>
      </w:r>
      <w:r>
        <w:rPr>
          <w:spacing w:val="-4"/>
        </w:rPr>
        <w:t>controls </w:t>
      </w:r>
      <w:r>
        <w:rPr/>
        <w:t>in </w:t>
      </w:r>
      <w:r>
        <w:rPr>
          <w:spacing w:val="-3"/>
        </w:rPr>
        <w:t>place for </w:t>
      </w:r>
      <w:r>
        <w:rPr>
          <w:spacing w:val="-4"/>
        </w:rPr>
        <w:t>accounting </w:t>
      </w:r>
      <w:r>
        <w:rPr/>
        <w:t>for </w:t>
      </w:r>
      <w:r>
        <w:rPr>
          <w:spacing w:val="-4"/>
        </w:rPr>
        <w:t>fixed </w:t>
      </w:r>
      <w:r>
        <w:rPr>
          <w:spacing w:val="-3"/>
        </w:rPr>
        <w:t>assets </w:t>
      </w:r>
      <w:r>
        <w:rPr>
          <w:spacing w:val="-4"/>
        </w:rPr>
        <w:t>revealed significant weaknesses including </w:t>
      </w:r>
      <w:r>
        <w:rPr>
          <w:spacing w:val="-3"/>
        </w:rPr>
        <w:t>the </w:t>
      </w:r>
      <w:r>
        <w:rPr>
          <w:spacing w:val="-4"/>
        </w:rPr>
        <w:t>following:</w:t>
      </w:r>
    </w:p>
    <w:p>
      <w:pPr>
        <w:pStyle w:val="BodyText"/>
        <w:spacing w:before="1"/>
        <w:rPr>
          <w:sz w:val="23"/>
        </w:rPr>
      </w:pPr>
    </w:p>
    <w:p>
      <w:pPr>
        <w:pStyle w:val="ListParagraph"/>
        <w:numPr>
          <w:ilvl w:val="0"/>
          <w:numId w:val="6"/>
        </w:numPr>
        <w:tabs>
          <w:tab w:pos="1557" w:val="left" w:leader="none"/>
          <w:tab w:pos="1558" w:val="left" w:leader="none"/>
        </w:tabs>
        <w:spacing w:line="269" w:lineRule="exact" w:before="0" w:after="0"/>
        <w:ind w:left="1558" w:right="0" w:hanging="360"/>
        <w:jc w:val="left"/>
        <w:rPr>
          <w:sz w:val="22"/>
        </w:rPr>
      </w:pPr>
      <w:r>
        <w:rPr>
          <w:sz w:val="22"/>
        </w:rPr>
        <w:t>The </w:t>
      </w:r>
      <w:r>
        <w:rPr>
          <w:spacing w:val="-4"/>
          <w:sz w:val="22"/>
        </w:rPr>
        <w:t>property register </w:t>
      </w:r>
      <w:r>
        <w:rPr>
          <w:spacing w:val="-3"/>
          <w:sz w:val="22"/>
        </w:rPr>
        <w:t>was </w:t>
      </w:r>
      <w:r>
        <w:rPr>
          <w:sz w:val="22"/>
        </w:rPr>
        <w:t>not </w:t>
      </w:r>
      <w:r>
        <w:rPr>
          <w:spacing w:val="-4"/>
          <w:sz w:val="22"/>
        </w:rPr>
        <w:t>updated </w:t>
      </w:r>
      <w:r>
        <w:rPr>
          <w:spacing w:val="-3"/>
          <w:sz w:val="22"/>
        </w:rPr>
        <w:t>to </w:t>
      </w:r>
      <w:r>
        <w:rPr>
          <w:spacing w:val="-4"/>
          <w:sz w:val="22"/>
        </w:rPr>
        <w:t>take account </w:t>
      </w:r>
      <w:r>
        <w:rPr>
          <w:spacing w:val="-3"/>
          <w:sz w:val="22"/>
        </w:rPr>
        <w:t>of land </w:t>
      </w:r>
      <w:r>
        <w:rPr>
          <w:spacing w:val="-4"/>
          <w:sz w:val="22"/>
        </w:rPr>
        <w:t>additions during </w:t>
      </w:r>
      <w:r>
        <w:rPr>
          <w:spacing w:val="-3"/>
          <w:sz w:val="22"/>
        </w:rPr>
        <w:t>the</w:t>
      </w:r>
      <w:r>
        <w:rPr>
          <w:spacing w:val="0"/>
          <w:sz w:val="22"/>
        </w:rPr>
        <w:t> </w:t>
      </w:r>
      <w:r>
        <w:rPr>
          <w:spacing w:val="-3"/>
          <w:sz w:val="22"/>
        </w:rPr>
        <w:t>year</w:t>
      </w:r>
    </w:p>
    <w:p>
      <w:pPr>
        <w:pStyle w:val="ListParagraph"/>
        <w:numPr>
          <w:ilvl w:val="0"/>
          <w:numId w:val="6"/>
        </w:numPr>
        <w:tabs>
          <w:tab w:pos="1557" w:val="left" w:leader="none"/>
          <w:tab w:pos="1558" w:val="left" w:leader="none"/>
        </w:tabs>
        <w:spacing w:line="225" w:lineRule="auto" w:before="13" w:after="0"/>
        <w:ind w:left="1558" w:right="490" w:hanging="360"/>
        <w:jc w:val="left"/>
        <w:rPr>
          <w:sz w:val="22"/>
        </w:rPr>
      </w:pPr>
      <w:r>
        <w:rPr>
          <w:sz w:val="22"/>
        </w:rPr>
        <w:t>The </w:t>
      </w:r>
      <w:r>
        <w:rPr>
          <w:spacing w:val="-4"/>
          <w:sz w:val="22"/>
        </w:rPr>
        <w:t>duplication </w:t>
      </w:r>
      <w:r>
        <w:rPr>
          <w:sz w:val="22"/>
        </w:rPr>
        <w:t>of a </w:t>
      </w:r>
      <w:r>
        <w:rPr>
          <w:spacing w:val="-4"/>
          <w:sz w:val="22"/>
        </w:rPr>
        <w:t>property </w:t>
      </w:r>
      <w:r>
        <w:rPr>
          <w:spacing w:val="-3"/>
          <w:sz w:val="22"/>
        </w:rPr>
        <w:t>in land fixed </w:t>
      </w:r>
      <w:r>
        <w:rPr>
          <w:spacing w:val="-4"/>
          <w:sz w:val="22"/>
        </w:rPr>
        <w:t>assets resulted </w:t>
      </w:r>
      <w:r>
        <w:rPr>
          <w:sz w:val="22"/>
        </w:rPr>
        <w:t>in </w:t>
      </w:r>
      <w:r>
        <w:rPr>
          <w:spacing w:val="-3"/>
          <w:sz w:val="22"/>
        </w:rPr>
        <w:t>the </w:t>
      </w:r>
      <w:r>
        <w:rPr>
          <w:spacing w:val="-4"/>
          <w:sz w:val="22"/>
        </w:rPr>
        <w:t>overstatement </w:t>
      </w:r>
      <w:r>
        <w:rPr>
          <w:sz w:val="22"/>
        </w:rPr>
        <w:t>of </w:t>
      </w:r>
      <w:r>
        <w:rPr>
          <w:spacing w:val="-3"/>
          <w:sz w:val="22"/>
        </w:rPr>
        <w:t>the value of land fixed </w:t>
      </w:r>
      <w:r>
        <w:rPr>
          <w:spacing w:val="-4"/>
          <w:sz w:val="22"/>
        </w:rPr>
        <w:t>assets </w:t>
      </w:r>
      <w:r>
        <w:rPr>
          <w:spacing w:val="-3"/>
          <w:sz w:val="22"/>
        </w:rPr>
        <w:t>by</w:t>
      </w:r>
      <w:r>
        <w:rPr>
          <w:sz w:val="22"/>
        </w:rPr>
        <w:t> </w:t>
      </w:r>
      <w:r>
        <w:rPr>
          <w:spacing w:val="-4"/>
          <w:sz w:val="22"/>
        </w:rPr>
        <w:t>€377k</w:t>
      </w:r>
    </w:p>
    <w:p>
      <w:pPr>
        <w:pStyle w:val="ListParagraph"/>
        <w:numPr>
          <w:ilvl w:val="0"/>
          <w:numId w:val="6"/>
        </w:numPr>
        <w:tabs>
          <w:tab w:pos="1557" w:val="left" w:leader="none"/>
          <w:tab w:pos="1558" w:val="left" w:leader="none"/>
        </w:tabs>
        <w:spacing w:line="269" w:lineRule="exact" w:before="14" w:after="0"/>
        <w:ind w:left="1558" w:right="0" w:hanging="360"/>
        <w:jc w:val="left"/>
        <w:rPr>
          <w:sz w:val="22"/>
        </w:rPr>
      </w:pPr>
      <w:r>
        <w:rPr>
          <w:sz w:val="22"/>
        </w:rPr>
        <w:t>The </w:t>
      </w:r>
      <w:r>
        <w:rPr>
          <w:spacing w:val="-4"/>
          <w:sz w:val="22"/>
        </w:rPr>
        <w:t>housing </w:t>
      </w:r>
      <w:r>
        <w:rPr>
          <w:spacing w:val="-3"/>
          <w:sz w:val="22"/>
        </w:rPr>
        <w:t>stock </w:t>
      </w:r>
      <w:r>
        <w:rPr>
          <w:spacing w:val="-4"/>
          <w:sz w:val="22"/>
        </w:rPr>
        <w:t>reconciliation </w:t>
      </w:r>
      <w:r>
        <w:rPr>
          <w:spacing w:val="-3"/>
          <w:sz w:val="22"/>
        </w:rPr>
        <w:t>was </w:t>
      </w:r>
      <w:r>
        <w:rPr>
          <w:sz w:val="22"/>
        </w:rPr>
        <w:t>not</w:t>
      </w:r>
      <w:r>
        <w:rPr>
          <w:spacing w:val="-8"/>
          <w:sz w:val="22"/>
        </w:rPr>
        <w:t> </w:t>
      </w:r>
      <w:r>
        <w:rPr>
          <w:spacing w:val="-4"/>
          <w:sz w:val="22"/>
        </w:rPr>
        <w:t>completed</w:t>
      </w:r>
    </w:p>
    <w:p>
      <w:pPr>
        <w:pStyle w:val="ListParagraph"/>
        <w:numPr>
          <w:ilvl w:val="0"/>
          <w:numId w:val="6"/>
        </w:numPr>
        <w:tabs>
          <w:tab w:pos="1557" w:val="left" w:leader="none"/>
          <w:tab w:pos="1558" w:val="left" w:leader="none"/>
        </w:tabs>
        <w:spacing w:line="225" w:lineRule="auto" w:before="13" w:after="0"/>
        <w:ind w:left="1558" w:right="979" w:hanging="360"/>
        <w:jc w:val="left"/>
        <w:rPr>
          <w:sz w:val="22"/>
        </w:rPr>
      </w:pPr>
      <w:r>
        <w:rPr>
          <w:spacing w:val="-4"/>
          <w:sz w:val="22"/>
        </w:rPr>
        <w:t>Procedures regarding </w:t>
      </w:r>
      <w:r>
        <w:rPr>
          <w:spacing w:val="-3"/>
          <w:sz w:val="22"/>
        </w:rPr>
        <w:t>the </w:t>
      </w:r>
      <w:r>
        <w:rPr>
          <w:spacing w:val="-4"/>
          <w:sz w:val="22"/>
        </w:rPr>
        <w:t>coding </w:t>
      </w:r>
      <w:r>
        <w:rPr>
          <w:spacing w:val="-3"/>
          <w:sz w:val="22"/>
        </w:rPr>
        <w:t>of </w:t>
      </w:r>
      <w:r>
        <w:rPr>
          <w:spacing w:val="-4"/>
          <w:sz w:val="22"/>
        </w:rPr>
        <w:t>deposits </w:t>
      </w:r>
      <w:r>
        <w:rPr>
          <w:spacing w:val="-3"/>
          <w:sz w:val="22"/>
        </w:rPr>
        <w:t>paid </w:t>
      </w:r>
      <w:r>
        <w:rPr>
          <w:sz w:val="22"/>
        </w:rPr>
        <w:t>for </w:t>
      </w:r>
      <w:r>
        <w:rPr>
          <w:spacing w:val="-3"/>
          <w:sz w:val="22"/>
        </w:rPr>
        <w:t>house </w:t>
      </w:r>
      <w:r>
        <w:rPr>
          <w:spacing w:val="-4"/>
          <w:sz w:val="22"/>
        </w:rPr>
        <w:t>purchases </w:t>
      </w:r>
      <w:r>
        <w:rPr>
          <w:spacing w:val="-3"/>
          <w:sz w:val="22"/>
        </w:rPr>
        <w:t>are </w:t>
      </w:r>
      <w:r>
        <w:rPr>
          <w:sz w:val="22"/>
        </w:rPr>
        <w:t>not </w:t>
      </w:r>
      <w:r>
        <w:rPr>
          <w:spacing w:val="-4"/>
          <w:sz w:val="22"/>
        </w:rPr>
        <w:t>satisfactory</w:t>
      </w:r>
    </w:p>
    <w:p>
      <w:pPr>
        <w:pStyle w:val="ListParagraph"/>
        <w:numPr>
          <w:ilvl w:val="0"/>
          <w:numId w:val="6"/>
        </w:numPr>
        <w:tabs>
          <w:tab w:pos="1557" w:val="left" w:leader="none"/>
          <w:tab w:pos="1558" w:val="left" w:leader="none"/>
        </w:tabs>
        <w:spacing w:line="240" w:lineRule="auto" w:before="13" w:after="0"/>
        <w:ind w:left="1558" w:right="0" w:hanging="360"/>
        <w:jc w:val="left"/>
        <w:rPr>
          <w:sz w:val="22"/>
        </w:rPr>
      </w:pPr>
      <w:r>
        <w:rPr>
          <w:spacing w:val="-4"/>
          <w:sz w:val="22"/>
        </w:rPr>
        <w:t>Amounts </w:t>
      </w:r>
      <w:r>
        <w:rPr>
          <w:spacing w:val="-3"/>
          <w:sz w:val="22"/>
        </w:rPr>
        <w:t>being </w:t>
      </w:r>
      <w:r>
        <w:rPr>
          <w:spacing w:val="-4"/>
          <w:sz w:val="22"/>
        </w:rPr>
        <w:t>capitalised </w:t>
      </w:r>
      <w:r>
        <w:rPr>
          <w:spacing w:val="-3"/>
          <w:sz w:val="22"/>
        </w:rPr>
        <w:t>in the </w:t>
      </w:r>
      <w:r>
        <w:rPr>
          <w:spacing w:val="-4"/>
          <w:sz w:val="22"/>
        </w:rPr>
        <w:t>accounts </w:t>
      </w:r>
      <w:r>
        <w:rPr>
          <w:sz w:val="22"/>
        </w:rPr>
        <w:t>are </w:t>
      </w:r>
      <w:r>
        <w:rPr>
          <w:spacing w:val="-4"/>
          <w:sz w:val="22"/>
        </w:rPr>
        <w:t>incorrect </w:t>
      </w:r>
      <w:r>
        <w:rPr>
          <w:sz w:val="22"/>
        </w:rPr>
        <w:t>in </w:t>
      </w:r>
      <w:r>
        <w:rPr>
          <w:spacing w:val="-3"/>
          <w:sz w:val="22"/>
        </w:rPr>
        <w:t>some</w:t>
      </w:r>
      <w:r>
        <w:rPr>
          <w:spacing w:val="-2"/>
          <w:sz w:val="22"/>
        </w:rPr>
        <w:t> </w:t>
      </w:r>
      <w:r>
        <w:rPr>
          <w:spacing w:val="-4"/>
          <w:sz w:val="22"/>
        </w:rPr>
        <w:t>cases.</w:t>
      </w:r>
    </w:p>
    <w:p>
      <w:pPr>
        <w:pStyle w:val="BodyText"/>
        <w:spacing w:before="5"/>
        <w:rPr>
          <w:sz w:val="20"/>
        </w:rPr>
      </w:pPr>
    </w:p>
    <w:p>
      <w:pPr>
        <w:pStyle w:val="Heading2"/>
        <w:ind w:firstLine="0"/>
      </w:pPr>
      <w:r>
        <w:rPr/>
        <w:t>Chief Executive’s Response</w:t>
      </w:r>
    </w:p>
    <w:p>
      <w:pPr>
        <w:pStyle w:val="BodyText"/>
        <w:spacing w:before="10"/>
        <w:rPr>
          <w:b/>
          <w:sz w:val="21"/>
        </w:rPr>
      </w:pPr>
    </w:p>
    <w:p>
      <w:pPr>
        <w:pStyle w:val="BodyText"/>
        <w:ind w:left="826" w:right="141"/>
      </w:pPr>
      <w:r>
        <w:rPr/>
        <w:t>The properties identified as not being included in the property register were actually included in the ‘Administration’ section of this register awaiting further information such as location and mapping. When this information is obtained, these properties will then be transferred to the main section of the property register.</w:t>
      </w:r>
    </w:p>
    <w:p>
      <w:pPr>
        <w:pStyle w:val="BodyText"/>
        <w:spacing w:before="10"/>
        <w:rPr>
          <w:sz w:val="21"/>
        </w:rPr>
      </w:pPr>
    </w:p>
    <w:p>
      <w:pPr>
        <w:pStyle w:val="BodyText"/>
        <w:ind w:left="826" w:right="219"/>
        <w:jc w:val="both"/>
      </w:pPr>
      <w:r>
        <w:rPr/>
        <w:t>The necessary adjustments in relation to the duplication of property in land fixed assets will be processed in 2017, and appropriate procedures will be put in place to prevent a recurrence of such a matter.</w:t>
      </w:r>
    </w:p>
    <w:p>
      <w:pPr>
        <w:pStyle w:val="BodyText"/>
        <w:spacing w:before="1"/>
      </w:pPr>
    </w:p>
    <w:p>
      <w:pPr>
        <w:pStyle w:val="BodyText"/>
        <w:spacing w:line="480" w:lineRule="auto"/>
        <w:ind w:left="826" w:right="432"/>
      </w:pPr>
      <w:r>
        <w:rPr/>
        <w:t>The housing stock reconciliation for 2016 will be completed within the next month. Procedures will be put in place to address the coding of deposits paid for house purchases.</w:t>
      </w:r>
    </w:p>
    <w:p>
      <w:pPr>
        <w:pStyle w:val="BodyText"/>
        <w:spacing w:before="1"/>
        <w:ind w:left="826" w:right="422"/>
      </w:pPr>
      <w:r>
        <w:rPr/>
        <w:t>A review of procedures to ensure the capitalisation of correct amounts to fixed assets in the future will be undertaken in 2017.</w:t>
      </w:r>
    </w:p>
    <w:p>
      <w:pPr>
        <w:pStyle w:val="BodyText"/>
        <w:spacing w:before="10"/>
        <w:rPr>
          <w:sz w:val="21"/>
        </w:rPr>
      </w:pPr>
    </w:p>
    <w:p>
      <w:pPr>
        <w:pStyle w:val="Heading2"/>
        <w:numPr>
          <w:ilvl w:val="0"/>
          <w:numId w:val="3"/>
        </w:numPr>
        <w:tabs>
          <w:tab w:pos="837" w:val="left" w:leader="none"/>
          <w:tab w:pos="838" w:val="left" w:leader="none"/>
        </w:tabs>
        <w:spacing w:line="240" w:lineRule="auto" w:before="0" w:after="0"/>
        <w:ind w:left="838" w:right="0" w:hanging="720"/>
        <w:jc w:val="left"/>
      </w:pPr>
      <w:r>
        <w:rPr>
          <w:spacing w:val="-4"/>
        </w:rPr>
        <w:t>Procurement</w:t>
      </w:r>
    </w:p>
    <w:p>
      <w:pPr>
        <w:pStyle w:val="BodyText"/>
        <w:spacing w:before="9"/>
        <w:rPr>
          <w:b/>
          <w:sz w:val="21"/>
        </w:rPr>
      </w:pPr>
    </w:p>
    <w:p>
      <w:pPr>
        <w:pStyle w:val="BodyText"/>
        <w:spacing w:before="1"/>
        <w:ind w:left="838"/>
      </w:pPr>
      <w:r>
        <w:rPr/>
        <w:t>Weaknesses were noted with regard to procurement practices as follows:</w:t>
      </w:r>
    </w:p>
    <w:p>
      <w:pPr>
        <w:pStyle w:val="BodyText"/>
        <w:spacing w:before="9"/>
        <w:rPr>
          <w:sz w:val="23"/>
        </w:rPr>
      </w:pPr>
    </w:p>
    <w:p>
      <w:pPr>
        <w:pStyle w:val="ListParagraph"/>
        <w:numPr>
          <w:ilvl w:val="0"/>
          <w:numId w:val="7"/>
        </w:numPr>
        <w:tabs>
          <w:tab w:pos="1557" w:val="left" w:leader="none"/>
          <w:tab w:pos="1558" w:val="left" w:leader="none"/>
        </w:tabs>
        <w:spacing w:line="235" w:lineRule="auto" w:before="1" w:after="0"/>
        <w:ind w:left="1558" w:right="146" w:hanging="360"/>
        <w:jc w:val="left"/>
        <w:rPr>
          <w:sz w:val="22"/>
        </w:rPr>
      </w:pPr>
      <w:r>
        <w:rPr>
          <w:sz w:val="22"/>
        </w:rPr>
        <w:t>A </w:t>
      </w:r>
      <w:r>
        <w:rPr>
          <w:spacing w:val="-4"/>
          <w:sz w:val="22"/>
        </w:rPr>
        <w:t>contractor </w:t>
      </w:r>
      <w:r>
        <w:rPr>
          <w:spacing w:val="-3"/>
          <w:sz w:val="22"/>
        </w:rPr>
        <w:t>was </w:t>
      </w:r>
      <w:r>
        <w:rPr>
          <w:spacing w:val="-4"/>
          <w:sz w:val="22"/>
        </w:rPr>
        <w:t>awarded </w:t>
      </w:r>
      <w:r>
        <w:rPr>
          <w:sz w:val="22"/>
        </w:rPr>
        <w:t>a 5 </w:t>
      </w:r>
      <w:r>
        <w:rPr>
          <w:spacing w:val="-3"/>
          <w:sz w:val="22"/>
        </w:rPr>
        <w:t>year </w:t>
      </w:r>
      <w:r>
        <w:rPr>
          <w:spacing w:val="-4"/>
          <w:sz w:val="22"/>
        </w:rPr>
        <w:t>contract </w:t>
      </w:r>
      <w:r>
        <w:rPr>
          <w:sz w:val="22"/>
        </w:rPr>
        <w:t>to </w:t>
      </w:r>
      <w:r>
        <w:rPr>
          <w:spacing w:val="-4"/>
          <w:sz w:val="22"/>
        </w:rPr>
        <w:t>provide engineering services </w:t>
      </w:r>
      <w:r>
        <w:rPr>
          <w:sz w:val="22"/>
        </w:rPr>
        <w:t>at </w:t>
      </w:r>
      <w:r>
        <w:rPr>
          <w:spacing w:val="-4"/>
          <w:sz w:val="22"/>
        </w:rPr>
        <w:t>Corranure </w:t>
      </w:r>
      <w:r>
        <w:rPr>
          <w:spacing w:val="-3"/>
          <w:sz w:val="22"/>
        </w:rPr>
        <w:t>landfill. </w:t>
      </w:r>
      <w:r>
        <w:rPr>
          <w:spacing w:val="-4"/>
          <w:sz w:val="22"/>
        </w:rPr>
        <w:t>However, only three contractors </w:t>
      </w:r>
      <w:r>
        <w:rPr>
          <w:spacing w:val="-3"/>
          <w:sz w:val="22"/>
        </w:rPr>
        <w:t>were </w:t>
      </w:r>
      <w:r>
        <w:rPr>
          <w:spacing w:val="-4"/>
          <w:sz w:val="22"/>
        </w:rPr>
        <w:t>requested </w:t>
      </w:r>
      <w:r>
        <w:rPr>
          <w:spacing w:val="-3"/>
          <w:sz w:val="22"/>
        </w:rPr>
        <w:t>to submit </w:t>
      </w:r>
      <w:r>
        <w:rPr>
          <w:spacing w:val="-4"/>
          <w:sz w:val="22"/>
        </w:rPr>
        <w:t>quotations </w:t>
      </w:r>
      <w:r>
        <w:rPr>
          <w:spacing w:val="-3"/>
          <w:sz w:val="22"/>
        </w:rPr>
        <w:t>for the </w:t>
      </w:r>
      <w:r>
        <w:rPr>
          <w:spacing w:val="-4"/>
          <w:sz w:val="22"/>
        </w:rPr>
        <w:t>provision </w:t>
      </w:r>
      <w:r>
        <w:rPr>
          <w:spacing w:val="-3"/>
          <w:sz w:val="22"/>
        </w:rPr>
        <w:t>of </w:t>
      </w:r>
      <w:r>
        <w:rPr>
          <w:spacing w:val="-4"/>
          <w:sz w:val="22"/>
        </w:rPr>
        <w:t>this service. </w:t>
      </w:r>
      <w:r>
        <w:rPr>
          <w:spacing w:val="-3"/>
          <w:sz w:val="22"/>
        </w:rPr>
        <w:t>This is </w:t>
      </w:r>
      <w:r>
        <w:rPr>
          <w:sz w:val="22"/>
        </w:rPr>
        <w:t>not </w:t>
      </w:r>
      <w:r>
        <w:rPr>
          <w:spacing w:val="-4"/>
          <w:sz w:val="22"/>
        </w:rPr>
        <w:t>consistent </w:t>
      </w:r>
      <w:r>
        <w:rPr>
          <w:spacing w:val="-3"/>
          <w:sz w:val="22"/>
        </w:rPr>
        <w:t>with </w:t>
      </w:r>
      <w:r>
        <w:rPr>
          <w:spacing w:val="-4"/>
          <w:sz w:val="22"/>
        </w:rPr>
        <w:t>recommended </w:t>
      </w:r>
      <w:r>
        <w:rPr>
          <w:spacing w:val="-3"/>
          <w:sz w:val="22"/>
        </w:rPr>
        <w:t>public </w:t>
      </w:r>
      <w:r>
        <w:rPr>
          <w:spacing w:val="-4"/>
          <w:sz w:val="22"/>
        </w:rPr>
        <w:t>procurement </w:t>
      </w:r>
      <w:r>
        <w:rPr>
          <w:spacing w:val="-3"/>
          <w:sz w:val="22"/>
        </w:rPr>
        <w:t>practice.</w:t>
      </w:r>
      <w:r>
        <w:rPr>
          <w:spacing w:val="-10"/>
          <w:sz w:val="22"/>
        </w:rPr>
        <w:t> </w:t>
      </w:r>
      <w:r>
        <w:rPr>
          <w:sz w:val="22"/>
        </w:rPr>
        <w:t>The</w:t>
      </w:r>
      <w:r>
        <w:rPr>
          <w:spacing w:val="-3"/>
          <w:sz w:val="22"/>
        </w:rPr>
        <w:t> </w:t>
      </w:r>
      <w:r>
        <w:rPr>
          <w:sz w:val="22"/>
        </w:rPr>
        <w:t>total</w:t>
      </w:r>
      <w:r>
        <w:rPr>
          <w:spacing w:val="-3"/>
          <w:sz w:val="22"/>
        </w:rPr>
        <w:t> </w:t>
      </w:r>
      <w:r>
        <w:rPr>
          <w:sz w:val="22"/>
        </w:rPr>
        <w:t>cost</w:t>
      </w:r>
      <w:r>
        <w:rPr>
          <w:spacing w:val="-3"/>
          <w:sz w:val="22"/>
        </w:rPr>
        <w:t> </w:t>
      </w:r>
      <w:r>
        <w:rPr>
          <w:sz w:val="22"/>
        </w:rPr>
        <w:t>of</w:t>
      </w:r>
      <w:r>
        <w:rPr>
          <w:spacing w:val="-6"/>
          <w:sz w:val="22"/>
        </w:rPr>
        <w:t> </w:t>
      </w:r>
      <w:r>
        <w:rPr>
          <w:sz w:val="22"/>
        </w:rPr>
        <w:t>engaging</w:t>
      </w:r>
      <w:r>
        <w:rPr>
          <w:spacing w:val="-3"/>
          <w:sz w:val="22"/>
        </w:rPr>
        <w:t> </w:t>
      </w:r>
      <w:r>
        <w:rPr>
          <w:sz w:val="22"/>
        </w:rPr>
        <w:t>this</w:t>
      </w:r>
      <w:r>
        <w:rPr>
          <w:spacing w:val="-2"/>
          <w:sz w:val="22"/>
        </w:rPr>
        <w:t> </w:t>
      </w:r>
      <w:r>
        <w:rPr>
          <w:sz w:val="22"/>
        </w:rPr>
        <w:t>contractor</w:t>
      </w:r>
      <w:r>
        <w:rPr>
          <w:spacing w:val="-3"/>
          <w:sz w:val="22"/>
        </w:rPr>
        <w:t> </w:t>
      </w:r>
      <w:r>
        <w:rPr>
          <w:sz w:val="22"/>
        </w:rPr>
        <w:t>in</w:t>
      </w:r>
      <w:r>
        <w:rPr>
          <w:spacing w:val="-5"/>
          <w:sz w:val="22"/>
        </w:rPr>
        <w:t> </w:t>
      </w:r>
      <w:r>
        <w:rPr>
          <w:sz w:val="22"/>
        </w:rPr>
        <w:t>2016</w:t>
      </w:r>
      <w:r>
        <w:rPr>
          <w:spacing w:val="-5"/>
          <w:sz w:val="22"/>
        </w:rPr>
        <w:t> </w:t>
      </w:r>
      <w:r>
        <w:rPr>
          <w:sz w:val="22"/>
        </w:rPr>
        <w:t>amounted</w:t>
      </w:r>
      <w:r>
        <w:rPr>
          <w:spacing w:val="-2"/>
          <w:sz w:val="22"/>
        </w:rPr>
        <w:t> </w:t>
      </w:r>
      <w:r>
        <w:rPr>
          <w:sz w:val="22"/>
        </w:rPr>
        <w:t>to</w:t>
      </w:r>
      <w:r>
        <w:rPr>
          <w:spacing w:val="-3"/>
          <w:sz w:val="22"/>
        </w:rPr>
        <w:t> </w:t>
      </w:r>
      <w:r>
        <w:rPr>
          <w:sz w:val="22"/>
        </w:rPr>
        <w:t>€27k</w:t>
      </w:r>
      <w:r>
        <w:rPr>
          <w:spacing w:val="-3"/>
          <w:sz w:val="22"/>
        </w:rPr>
        <w:t> </w:t>
      </w:r>
      <w:r>
        <w:rPr>
          <w:sz w:val="22"/>
        </w:rPr>
        <w:t>(ex-vat)</w:t>
      </w:r>
    </w:p>
    <w:p>
      <w:pPr>
        <w:pStyle w:val="ListParagraph"/>
        <w:numPr>
          <w:ilvl w:val="0"/>
          <w:numId w:val="7"/>
        </w:numPr>
        <w:tabs>
          <w:tab w:pos="1557" w:val="left" w:leader="none"/>
          <w:tab w:pos="1558" w:val="left" w:leader="none"/>
        </w:tabs>
        <w:spacing w:line="230" w:lineRule="auto" w:before="25" w:after="0"/>
        <w:ind w:left="1558" w:right="236" w:hanging="360"/>
        <w:jc w:val="left"/>
        <w:rPr>
          <w:sz w:val="22"/>
        </w:rPr>
      </w:pPr>
      <w:r>
        <w:rPr>
          <w:sz w:val="22"/>
        </w:rPr>
        <w:t>The </w:t>
      </w:r>
      <w:r>
        <w:rPr>
          <w:spacing w:val="-4"/>
          <w:sz w:val="22"/>
        </w:rPr>
        <w:t>Council has been engaging </w:t>
      </w:r>
      <w:r>
        <w:rPr>
          <w:spacing w:val="-3"/>
          <w:sz w:val="22"/>
        </w:rPr>
        <w:t>the </w:t>
      </w:r>
      <w:r>
        <w:rPr>
          <w:spacing w:val="-4"/>
          <w:sz w:val="22"/>
        </w:rPr>
        <w:t>services </w:t>
      </w:r>
      <w:r>
        <w:rPr>
          <w:spacing w:val="-3"/>
          <w:sz w:val="22"/>
        </w:rPr>
        <w:t>of </w:t>
      </w:r>
      <w:r>
        <w:rPr>
          <w:sz w:val="22"/>
        </w:rPr>
        <w:t>a </w:t>
      </w:r>
      <w:r>
        <w:rPr>
          <w:spacing w:val="-4"/>
          <w:sz w:val="22"/>
        </w:rPr>
        <w:t>software </w:t>
      </w:r>
      <w:r>
        <w:rPr>
          <w:spacing w:val="-3"/>
          <w:sz w:val="22"/>
        </w:rPr>
        <w:t>provider since 2002 in </w:t>
      </w:r>
      <w:r>
        <w:rPr>
          <w:sz w:val="22"/>
        </w:rPr>
        <w:t>the </w:t>
      </w:r>
      <w:r>
        <w:rPr>
          <w:spacing w:val="-4"/>
          <w:sz w:val="22"/>
        </w:rPr>
        <w:t>provision </w:t>
      </w:r>
      <w:r>
        <w:rPr>
          <w:spacing w:val="-3"/>
          <w:sz w:val="22"/>
        </w:rPr>
        <w:t>of </w:t>
      </w:r>
      <w:r>
        <w:rPr>
          <w:spacing w:val="-4"/>
          <w:sz w:val="22"/>
        </w:rPr>
        <w:t>financial management services </w:t>
      </w:r>
      <w:r>
        <w:rPr>
          <w:sz w:val="22"/>
        </w:rPr>
        <w:t>to </w:t>
      </w:r>
      <w:r>
        <w:rPr>
          <w:spacing w:val="-3"/>
          <w:sz w:val="22"/>
        </w:rPr>
        <w:t>the </w:t>
      </w:r>
      <w:r>
        <w:rPr>
          <w:spacing w:val="-4"/>
          <w:sz w:val="22"/>
        </w:rPr>
        <w:t>Council. </w:t>
      </w:r>
      <w:r>
        <w:rPr>
          <w:spacing w:val="-3"/>
          <w:sz w:val="22"/>
        </w:rPr>
        <w:t>Proper </w:t>
      </w:r>
      <w:r>
        <w:rPr>
          <w:spacing w:val="-4"/>
          <w:sz w:val="22"/>
        </w:rPr>
        <w:t>tendering procedures </w:t>
      </w:r>
      <w:r>
        <w:rPr>
          <w:spacing w:val="-3"/>
          <w:sz w:val="22"/>
        </w:rPr>
        <w:t>have not </w:t>
      </w:r>
      <w:r>
        <w:rPr>
          <w:spacing w:val="-4"/>
          <w:sz w:val="22"/>
        </w:rPr>
        <w:t>been complied with </w:t>
      </w:r>
      <w:r>
        <w:rPr>
          <w:sz w:val="22"/>
        </w:rPr>
        <w:t>in the </w:t>
      </w:r>
      <w:r>
        <w:rPr>
          <w:spacing w:val="-4"/>
          <w:sz w:val="22"/>
        </w:rPr>
        <w:t>tendering </w:t>
      </w:r>
      <w:r>
        <w:rPr>
          <w:sz w:val="22"/>
        </w:rPr>
        <w:t>of </w:t>
      </w:r>
      <w:r>
        <w:rPr>
          <w:spacing w:val="-4"/>
          <w:sz w:val="22"/>
        </w:rPr>
        <w:t>this</w:t>
      </w:r>
      <w:r>
        <w:rPr>
          <w:spacing w:val="-13"/>
          <w:sz w:val="22"/>
        </w:rPr>
        <w:t> </w:t>
      </w:r>
      <w:r>
        <w:rPr>
          <w:spacing w:val="-4"/>
          <w:sz w:val="22"/>
        </w:rPr>
        <w:t>service</w:t>
      </w:r>
    </w:p>
    <w:p>
      <w:pPr>
        <w:spacing w:after="0" w:line="230" w:lineRule="auto"/>
        <w:jc w:val="left"/>
        <w:rPr>
          <w:sz w:val="22"/>
        </w:rPr>
        <w:sectPr>
          <w:pgSz w:w="11910" w:h="16840"/>
          <w:pgMar w:header="0" w:footer="447" w:top="1320" w:bottom="640" w:left="1680" w:right="1680"/>
        </w:sectPr>
      </w:pPr>
    </w:p>
    <w:p>
      <w:pPr>
        <w:pStyle w:val="ListParagraph"/>
        <w:numPr>
          <w:ilvl w:val="0"/>
          <w:numId w:val="7"/>
        </w:numPr>
        <w:tabs>
          <w:tab w:pos="1557" w:val="left" w:leader="none"/>
          <w:tab w:pos="1558" w:val="left" w:leader="none"/>
        </w:tabs>
        <w:spacing w:line="223" w:lineRule="auto" w:before="112" w:after="0"/>
        <w:ind w:left="1558" w:right="758" w:hanging="360"/>
        <w:jc w:val="left"/>
        <w:rPr>
          <w:sz w:val="22"/>
        </w:rPr>
      </w:pPr>
      <w:r>
        <w:rPr>
          <w:spacing w:val="-4"/>
          <w:sz w:val="22"/>
        </w:rPr>
        <w:t>Corporate Services engaged </w:t>
      </w:r>
      <w:r>
        <w:rPr>
          <w:spacing w:val="-3"/>
          <w:sz w:val="22"/>
        </w:rPr>
        <w:t>two </w:t>
      </w:r>
      <w:r>
        <w:rPr>
          <w:spacing w:val="-4"/>
          <w:sz w:val="22"/>
        </w:rPr>
        <w:t>firms </w:t>
      </w:r>
      <w:r>
        <w:rPr>
          <w:sz w:val="22"/>
        </w:rPr>
        <w:t>to </w:t>
      </w:r>
      <w:r>
        <w:rPr>
          <w:spacing w:val="-4"/>
          <w:sz w:val="22"/>
        </w:rPr>
        <w:t>carry </w:t>
      </w:r>
      <w:r>
        <w:rPr>
          <w:sz w:val="22"/>
        </w:rPr>
        <w:t>out </w:t>
      </w:r>
      <w:r>
        <w:rPr>
          <w:spacing w:val="-4"/>
          <w:sz w:val="22"/>
        </w:rPr>
        <w:t>services without </w:t>
      </w:r>
      <w:r>
        <w:rPr>
          <w:spacing w:val="-3"/>
          <w:sz w:val="22"/>
        </w:rPr>
        <w:t>using proper </w:t>
      </w:r>
      <w:r>
        <w:rPr>
          <w:spacing w:val="-4"/>
          <w:sz w:val="22"/>
        </w:rPr>
        <w:t>tendering</w:t>
      </w:r>
      <w:r>
        <w:rPr>
          <w:spacing w:val="10"/>
          <w:sz w:val="22"/>
        </w:rPr>
        <w:t> </w:t>
      </w:r>
      <w:r>
        <w:rPr>
          <w:spacing w:val="-4"/>
          <w:sz w:val="22"/>
        </w:rPr>
        <w:t>procedures</w:t>
      </w:r>
    </w:p>
    <w:p>
      <w:pPr>
        <w:pStyle w:val="ListParagraph"/>
        <w:numPr>
          <w:ilvl w:val="0"/>
          <w:numId w:val="7"/>
        </w:numPr>
        <w:tabs>
          <w:tab w:pos="1557" w:val="left" w:leader="none"/>
          <w:tab w:pos="1558" w:val="left" w:leader="none"/>
        </w:tabs>
        <w:spacing w:line="225" w:lineRule="auto" w:before="30" w:after="0"/>
        <w:ind w:left="1558" w:right="550" w:hanging="360"/>
        <w:jc w:val="left"/>
        <w:rPr>
          <w:sz w:val="22"/>
        </w:rPr>
      </w:pPr>
      <w:r>
        <w:rPr>
          <w:sz w:val="22"/>
        </w:rPr>
        <w:t>In </w:t>
      </w:r>
      <w:r>
        <w:rPr>
          <w:spacing w:val="-3"/>
          <w:sz w:val="22"/>
        </w:rPr>
        <w:t>some </w:t>
      </w:r>
      <w:r>
        <w:rPr>
          <w:spacing w:val="-4"/>
          <w:sz w:val="22"/>
        </w:rPr>
        <w:t>cases, there </w:t>
      </w:r>
      <w:r>
        <w:rPr>
          <w:spacing w:val="-3"/>
          <w:sz w:val="22"/>
        </w:rPr>
        <w:t>was no </w:t>
      </w:r>
      <w:r>
        <w:rPr>
          <w:spacing w:val="-4"/>
          <w:sz w:val="22"/>
        </w:rPr>
        <w:t>evidence </w:t>
      </w:r>
      <w:r>
        <w:rPr>
          <w:spacing w:val="-3"/>
          <w:sz w:val="22"/>
        </w:rPr>
        <w:t>that proper </w:t>
      </w:r>
      <w:r>
        <w:rPr>
          <w:spacing w:val="-4"/>
          <w:sz w:val="22"/>
        </w:rPr>
        <w:t>procedures </w:t>
      </w:r>
      <w:r>
        <w:rPr>
          <w:spacing w:val="-3"/>
          <w:sz w:val="22"/>
        </w:rPr>
        <w:t>were </w:t>
      </w:r>
      <w:r>
        <w:rPr>
          <w:spacing w:val="-4"/>
          <w:sz w:val="22"/>
        </w:rPr>
        <w:t>adhered </w:t>
      </w:r>
      <w:r>
        <w:rPr>
          <w:sz w:val="22"/>
        </w:rPr>
        <w:t>to </w:t>
      </w:r>
      <w:r>
        <w:rPr>
          <w:spacing w:val="-3"/>
          <w:sz w:val="22"/>
        </w:rPr>
        <w:t>with regard </w:t>
      </w:r>
      <w:r>
        <w:rPr>
          <w:sz w:val="22"/>
        </w:rPr>
        <w:t>to </w:t>
      </w:r>
      <w:r>
        <w:rPr>
          <w:spacing w:val="-3"/>
          <w:sz w:val="22"/>
        </w:rPr>
        <w:t>the opening of </w:t>
      </w:r>
      <w:r>
        <w:rPr>
          <w:spacing w:val="-4"/>
          <w:sz w:val="22"/>
        </w:rPr>
        <w:t>tenders received </w:t>
      </w:r>
      <w:r>
        <w:rPr>
          <w:spacing w:val="-3"/>
          <w:sz w:val="22"/>
        </w:rPr>
        <w:t>from </w:t>
      </w:r>
      <w:r>
        <w:rPr>
          <w:spacing w:val="-4"/>
          <w:sz w:val="22"/>
        </w:rPr>
        <w:t>contractors.</w:t>
      </w:r>
    </w:p>
    <w:p>
      <w:pPr>
        <w:pStyle w:val="BodyText"/>
        <w:spacing w:before="10"/>
        <w:rPr>
          <w:sz w:val="21"/>
        </w:rPr>
      </w:pPr>
    </w:p>
    <w:p>
      <w:pPr>
        <w:pStyle w:val="BodyText"/>
        <w:ind w:left="838" w:right="74"/>
      </w:pPr>
      <w:r>
        <w:rPr/>
        <w:t>The </w:t>
      </w:r>
      <w:r>
        <w:rPr>
          <w:spacing w:val="-4"/>
        </w:rPr>
        <w:t>Council has </w:t>
      </w:r>
      <w:r>
        <w:rPr>
          <w:spacing w:val="-3"/>
        </w:rPr>
        <w:t>in </w:t>
      </w:r>
      <w:r>
        <w:rPr>
          <w:spacing w:val="-4"/>
        </w:rPr>
        <w:t>place </w:t>
      </w:r>
      <w:r>
        <w:rPr/>
        <w:t>a </w:t>
      </w:r>
      <w:r>
        <w:rPr>
          <w:spacing w:val="-4"/>
        </w:rPr>
        <w:t>well-documented procurement procedures manual which </w:t>
      </w:r>
      <w:r>
        <w:rPr>
          <w:spacing w:val="-3"/>
        </w:rPr>
        <w:t>is </w:t>
      </w:r>
      <w:r>
        <w:rPr>
          <w:spacing w:val="-4"/>
        </w:rPr>
        <w:t>updated </w:t>
      </w:r>
      <w:r>
        <w:rPr>
          <w:spacing w:val="-3"/>
        </w:rPr>
        <w:t>on </w:t>
      </w:r>
      <w:r>
        <w:rPr/>
        <w:t>an </w:t>
      </w:r>
      <w:r>
        <w:rPr>
          <w:spacing w:val="-4"/>
        </w:rPr>
        <w:t>annual </w:t>
      </w:r>
      <w:r>
        <w:rPr>
          <w:spacing w:val="-3"/>
        </w:rPr>
        <w:t>basis. </w:t>
      </w:r>
      <w:r>
        <w:rPr>
          <w:spacing w:val="-4"/>
        </w:rPr>
        <w:t>There </w:t>
      </w:r>
      <w:r>
        <w:rPr/>
        <w:t>is </w:t>
      </w:r>
      <w:r>
        <w:rPr>
          <w:spacing w:val="-3"/>
        </w:rPr>
        <w:t>also </w:t>
      </w:r>
      <w:r>
        <w:rPr/>
        <w:t>a </w:t>
      </w:r>
      <w:r>
        <w:rPr>
          <w:spacing w:val="-4"/>
        </w:rPr>
        <w:t>procurement website </w:t>
      </w:r>
      <w:r>
        <w:rPr>
          <w:spacing w:val="-3"/>
        </w:rPr>
        <w:t>set </w:t>
      </w:r>
      <w:r>
        <w:rPr/>
        <w:t>up </w:t>
      </w:r>
      <w:r>
        <w:rPr>
          <w:spacing w:val="-4"/>
        </w:rPr>
        <w:t>within </w:t>
      </w:r>
      <w:r>
        <w:rPr>
          <w:spacing w:val="-3"/>
        </w:rPr>
        <w:t>the </w:t>
      </w:r>
      <w:r>
        <w:rPr>
          <w:spacing w:val="-4"/>
        </w:rPr>
        <w:t>Council </w:t>
      </w:r>
      <w:r>
        <w:rPr>
          <w:spacing w:val="-3"/>
        </w:rPr>
        <w:t>to </w:t>
      </w:r>
      <w:r>
        <w:rPr>
          <w:spacing w:val="-4"/>
        </w:rPr>
        <w:t>provide </w:t>
      </w:r>
      <w:r>
        <w:rPr>
          <w:spacing w:val="-3"/>
        </w:rPr>
        <w:t>staff with all the </w:t>
      </w:r>
      <w:r>
        <w:rPr>
          <w:spacing w:val="-4"/>
        </w:rPr>
        <w:t>relevant procurement guidance </w:t>
      </w:r>
      <w:r>
        <w:rPr>
          <w:spacing w:val="-3"/>
        </w:rPr>
        <w:t>and </w:t>
      </w:r>
      <w:r>
        <w:rPr>
          <w:spacing w:val="-4"/>
        </w:rPr>
        <w:t>documentation </w:t>
      </w:r>
      <w:r>
        <w:rPr>
          <w:spacing w:val="-3"/>
        </w:rPr>
        <w:t>to support </w:t>
      </w:r>
      <w:r>
        <w:rPr/>
        <w:t>the </w:t>
      </w:r>
      <w:r>
        <w:rPr>
          <w:spacing w:val="-4"/>
        </w:rPr>
        <w:t>Council’s procurement procedures. These should </w:t>
      </w:r>
      <w:r>
        <w:rPr>
          <w:spacing w:val="-3"/>
        </w:rPr>
        <w:t>be </w:t>
      </w:r>
      <w:r>
        <w:rPr>
          <w:spacing w:val="-4"/>
        </w:rPr>
        <w:t>utilised </w:t>
      </w:r>
      <w:r>
        <w:rPr>
          <w:spacing w:val="-3"/>
        </w:rPr>
        <w:t>by staff </w:t>
      </w:r>
      <w:r>
        <w:rPr>
          <w:spacing w:val="-4"/>
        </w:rPr>
        <w:t>engaged </w:t>
      </w:r>
      <w:r>
        <w:rPr>
          <w:spacing w:val="-3"/>
        </w:rPr>
        <w:t>in </w:t>
      </w:r>
      <w:r>
        <w:rPr/>
        <w:t>the </w:t>
      </w:r>
      <w:r>
        <w:rPr>
          <w:spacing w:val="-4"/>
        </w:rPr>
        <w:t>procurement </w:t>
      </w:r>
      <w:r>
        <w:rPr/>
        <w:t>of </w:t>
      </w:r>
      <w:r>
        <w:rPr>
          <w:spacing w:val="-4"/>
        </w:rPr>
        <w:t>goods </w:t>
      </w:r>
      <w:r>
        <w:rPr>
          <w:spacing w:val="-3"/>
        </w:rPr>
        <w:t>and </w:t>
      </w:r>
      <w:r>
        <w:rPr>
          <w:spacing w:val="-4"/>
        </w:rPr>
        <w:t>services.</w:t>
      </w:r>
    </w:p>
    <w:p>
      <w:pPr>
        <w:pStyle w:val="BodyText"/>
        <w:spacing w:before="10"/>
        <w:rPr>
          <w:sz w:val="21"/>
        </w:rPr>
      </w:pPr>
    </w:p>
    <w:p>
      <w:pPr>
        <w:pStyle w:val="Heading2"/>
        <w:ind w:firstLine="0"/>
      </w:pPr>
      <w:r>
        <w:rPr/>
        <w:t>Chief Executive’s Response</w:t>
      </w:r>
    </w:p>
    <w:p>
      <w:pPr>
        <w:pStyle w:val="BodyText"/>
        <w:spacing w:before="4"/>
        <w:rPr>
          <w:b/>
          <w:sz w:val="24"/>
        </w:rPr>
      </w:pPr>
    </w:p>
    <w:p>
      <w:pPr>
        <w:pStyle w:val="ListParagraph"/>
        <w:numPr>
          <w:ilvl w:val="2"/>
          <w:numId w:val="3"/>
        </w:numPr>
        <w:tabs>
          <w:tab w:pos="1124" w:val="left" w:leader="none"/>
        </w:tabs>
        <w:spacing w:line="230" w:lineRule="auto" w:before="0" w:after="0"/>
        <w:ind w:left="1123" w:right="192" w:hanging="360"/>
        <w:jc w:val="both"/>
        <w:rPr>
          <w:sz w:val="22"/>
        </w:rPr>
      </w:pPr>
      <w:r>
        <w:rPr>
          <w:sz w:val="22"/>
        </w:rPr>
        <w:t>The contract for engineering services at Corranure landfill was awarded in 2015 and is </w:t>
      </w:r>
      <w:r>
        <w:rPr>
          <w:spacing w:val="-9"/>
          <w:sz w:val="22"/>
        </w:rPr>
        <w:t>due </w:t>
      </w:r>
      <w:r>
        <w:rPr>
          <w:sz w:val="22"/>
        </w:rPr>
        <w:t>to run until 2020. The auditor’s comments are noted and the new procurement procedures being</w:t>
      </w:r>
      <w:r>
        <w:rPr>
          <w:spacing w:val="-4"/>
          <w:sz w:val="22"/>
        </w:rPr>
        <w:t> </w:t>
      </w:r>
      <w:r>
        <w:rPr>
          <w:sz w:val="22"/>
        </w:rPr>
        <w:t>adopted</w:t>
      </w:r>
      <w:r>
        <w:rPr>
          <w:spacing w:val="-6"/>
          <w:sz w:val="22"/>
        </w:rPr>
        <w:t> </w:t>
      </w:r>
      <w:r>
        <w:rPr>
          <w:sz w:val="22"/>
        </w:rPr>
        <w:t>in</w:t>
      </w:r>
      <w:r>
        <w:rPr>
          <w:spacing w:val="-4"/>
          <w:sz w:val="22"/>
        </w:rPr>
        <w:t> </w:t>
      </w:r>
      <w:r>
        <w:rPr>
          <w:sz w:val="22"/>
        </w:rPr>
        <w:t>Cavan</w:t>
      </w:r>
      <w:r>
        <w:rPr>
          <w:spacing w:val="-4"/>
          <w:sz w:val="22"/>
        </w:rPr>
        <w:t> </w:t>
      </w:r>
      <w:r>
        <w:rPr>
          <w:sz w:val="22"/>
        </w:rPr>
        <w:t>County</w:t>
      </w:r>
      <w:r>
        <w:rPr>
          <w:spacing w:val="-4"/>
          <w:sz w:val="22"/>
        </w:rPr>
        <w:t> </w:t>
      </w:r>
      <w:r>
        <w:rPr>
          <w:sz w:val="22"/>
        </w:rPr>
        <w:t>Council</w:t>
      </w:r>
      <w:r>
        <w:rPr>
          <w:spacing w:val="-3"/>
          <w:sz w:val="22"/>
        </w:rPr>
        <w:t> </w:t>
      </w:r>
      <w:r>
        <w:rPr>
          <w:sz w:val="22"/>
        </w:rPr>
        <w:t>will</w:t>
      </w:r>
      <w:r>
        <w:rPr>
          <w:spacing w:val="-4"/>
          <w:sz w:val="22"/>
        </w:rPr>
        <w:t> </w:t>
      </w:r>
      <w:r>
        <w:rPr>
          <w:sz w:val="22"/>
        </w:rPr>
        <w:t>ensure</w:t>
      </w:r>
      <w:r>
        <w:rPr>
          <w:spacing w:val="-4"/>
          <w:sz w:val="22"/>
        </w:rPr>
        <w:t> </w:t>
      </w:r>
      <w:r>
        <w:rPr>
          <w:sz w:val="22"/>
        </w:rPr>
        <w:t>that</w:t>
      </w:r>
      <w:r>
        <w:rPr>
          <w:spacing w:val="-6"/>
          <w:sz w:val="22"/>
        </w:rPr>
        <w:t> </w:t>
      </w:r>
      <w:r>
        <w:rPr>
          <w:sz w:val="22"/>
        </w:rPr>
        <w:t>this</w:t>
      </w:r>
      <w:r>
        <w:rPr>
          <w:spacing w:val="-6"/>
          <w:sz w:val="22"/>
        </w:rPr>
        <w:t> </w:t>
      </w:r>
      <w:r>
        <w:rPr>
          <w:sz w:val="22"/>
        </w:rPr>
        <w:t>practice</w:t>
      </w:r>
      <w:r>
        <w:rPr>
          <w:spacing w:val="-4"/>
          <w:sz w:val="22"/>
        </w:rPr>
        <w:t> </w:t>
      </w:r>
      <w:r>
        <w:rPr>
          <w:sz w:val="22"/>
        </w:rPr>
        <w:t>will</w:t>
      </w:r>
      <w:r>
        <w:rPr>
          <w:spacing w:val="-4"/>
          <w:sz w:val="22"/>
        </w:rPr>
        <w:t> </w:t>
      </w:r>
      <w:r>
        <w:rPr>
          <w:sz w:val="22"/>
        </w:rPr>
        <w:t>not</w:t>
      </w:r>
      <w:r>
        <w:rPr>
          <w:spacing w:val="-4"/>
          <w:sz w:val="22"/>
        </w:rPr>
        <w:t> </w:t>
      </w:r>
      <w:r>
        <w:rPr>
          <w:sz w:val="22"/>
        </w:rPr>
        <w:t>reoccur.</w:t>
      </w:r>
    </w:p>
    <w:p>
      <w:pPr>
        <w:pStyle w:val="BodyText"/>
        <w:spacing w:before="6"/>
        <w:rPr>
          <w:sz w:val="23"/>
        </w:rPr>
      </w:pPr>
    </w:p>
    <w:p>
      <w:pPr>
        <w:pStyle w:val="ListParagraph"/>
        <w:numPr>
          <w:ilvl w:val="2"/>
          <w:numId w:val="3"/>
        </w:numPr>
        <w:tabs>
          <w:tab w:pos="1123" w:val="left" w:leader="none"/>
          <w:tab w:pos="1124" w:val="left" w:leader="none"/>
        </w:tabs>
        <w:spacing w:line="237" w:lineRule="auto" w:before="1" w:after="0"/>
        <w:ind w:left="1123" w:right="286" w:hanging="360"/>
        <w:jc w:val="left"/>
        <w:rPr>
          <w:sz w:val="22"/>
        </w:rPr>
      </w:pPr>
      <w:r>
        <w:rPr>
          <w:sz w:val="22"/>
        </w:rPr>
        <w:t>The provision of services by the software provider mentioned above relates to an annual software maintenance agreement in place following the introduction of the Council’s financial management system. There was only one such provider of this software and the procurement of this service was critical in the provision of key management information in relation to the monitoring of expenditure and income, and the preparation of statutory and non statutory</w:t>
      </w:r>
      <w:r>
        <w:rPr>
          <w:spacing w:val="-16"/>
          <w:sz w:val="22"/>
        </w:rPr>
        <w:t> </w:t>
      </w:r>
      <w:r>
        <w:rPr>
          <w:sz w:val="22"/>
        </w:rPr>
        <w:t>reports.</w:t>
      </w:r>
    </w:p>
    <w:p>
      <w:pPr>
        <w:pStyle w:val="BodyText"/>
        <w:spacing w:before="7"/>
        <w:rPr>
          <w:sz w:val="23"/>
        </w:rPr>
      </w:pPr>
    </w:p>
    <w:p>
      <w:pPr>
        <w:pStyle w:val="ListParagraph"/>
        <w:numPr>
          <w:ilvl w:val="2"/>
          <w:numId w:val="3"/>
        </w:numPr>
        <w:tabs>
          <w:tab w:pos="1121" w:val="left" w:leader="none"/>
          <w:tab w:pos="1122" w:val="left" w:leader="none"/>
        </w:tabs>
        <w:spacing w:line="235" w:lineRule="auto" w:before="0" w:after="0"/>
        <w:ind w:left="1121" w:right="301" w:hanging="358"/>
        <w:jc w:val="left"/>
        <w:rPr>
          <w:sz w:val="22"/>
        </w:rPr>
      </w:pPr>
      <w:r>
        <w:rPr>
          <w:sz w:val="22"/>
        </w:rPr>
        <w:t>Due to the nature of the services required, and the need to carry out these expeditiously, Corporate Services section employed these firms on the basis of their knowledge and previous experience. The Council has since utilised, and will continue to utilise, the Office of</w:t>
      </w:r>
      <w:r>
        <w:rPr>
          <w:spacing w:val="-4"/>
          <w:sz w:val="22"/>
        </w:rPr>
        <w:t> </w:t>
      </w:r>
      <w:r>
        <w:rPr>
          <w:sz w:val="22"/>
        </w:rPr>
        <w:t>Government</w:t>
      </w:r>
      <w:r>
        <w:rPr>
          <w:spacing w:val="-4"/>
          <w:sz w:val="22"/>
        </w:rPr>
        <w:t> </w:t>
      </w:r>
      <w:r>
        <w:rPr>
          <w:sz w:val="22"/>
        </w:rPr>
        <w:t>Procurement’s</w:t>
      </w:r>
      <w:r>
        <w:rPr>
          <w:spacing w:val="-5"/>
          <w:sz w:val="22"/>
        </w:rPr>
        <w:t> </w:t>
      </w:r>
      <w:r>
        <w:rPr>
          <w:sz w:val="22"/>
        </w:rPr>
        <w:t>Framework</w:t>
      </w:r>
      <w:r>
        <w:rPr>
          <w:spacing w:val="-4"/>
          <w:sz w:val="22"/>
        </w:rPr>
        <w:t> </w:t>
      </w:r>
      <w:r>
        <w:rPr>
          <w:sz w:val="22"/>
        </w:rPr>
        <w:t>for</w:t>
      </w:r>
      <w:r>
        <w:rPr>
          <w:spacing w:val="-4"/>
          <w:sz w:val="22"/>
        </w:rPr>
        <w:t> </w:t>
      </w:r>
      <w:r>
        <w:rPr>
          <w:sz w:val="22"/>
        </w:rPr>
        <w:t>all</w:t>
      </w:r>
      <w:r>
        <w:rPr>
          <w:spacing w:val="-5"/>
          <w:sz w:val="22"/>
        </w:rPr>
        <w:t> </w:t>
      </w:r>
      <w:r>
        <w:rPr>
          <w:sz w:val="22"/>
        </w:rPr>
        <w:t>such</w:t>
      </w:r>
      <w:r>
        <w:rPr>
          <w:spacing w:val="-4"/>
          <w:sz w:val="22"/>
        </w:rPr>
        <w:t> </w:t>
      </w:r>
      <w:r>
        <w:rPr>
          <w:sz w:val="22"/>
        </w:rPr>
        <w:t>services</w:t>
      </w:r>
      <w:r>
        <w:rPr>
          <w:spacing w:val="-4"/>
          <w:sz w:val="22"/>
        </w:rPr>
        <w:t> </w:t>
      </w:r>
      <w:r>
        <w:rPr>
          <w:sz w:val="22"/>
        </w:rPr>
        <w:t>in</w:t>
      </w:r>
      <w:r>
        <w:rPr>
          <w:spacing w:val="-4"/>
          <w:sz w:val="22"/>
        </w:rPr>
        <w:t> </w:t>
      </w:r>
      <w:r>
        <w:rPr>
          <w:sz w:val="22"/>
        </w:rPr>
        <w:t>the</w:t>
      </w:r>
      <w:r>
        <w:rPr>
          <w:spacing w:val="-4"/>
          <w:sz w:val="22"/>
        </w:rPr>
        <w:t> </w:t>
      </w:r>
      <w:r>
        <w:rPr>
          <w:sz w:val="22"/>
        </w:rPr>
        <w:t>future.</w:t>
      </w:r>
    </w:p>
    <w:p>
      <w:pPr>
        <w:pStyle w:val="BodyText"/>
        <w:spacing w:before="9"/>
        <w:rPr>
          <w:sz w:val="23"/>
        </w:rPr>
      </w:pPr>
    </w:p>
    <w:p>
      <w:pPr>
        <w:pStyle w:val="ListParagraph"/>
        <w:numPr>
          <w:ilvl w:val="2"/>
          <w:numId w:val="3"/>
        </w:numPr>
        <w:tabs>
          <w:tab w:pos="1122" w:val="left" w:leader="none"/>
        </w:tabs>
        <w:spacing w:line="232" w:lineRule="auto" w:before="0" w:after="0"/>
        <w:ind w:left="1121" w:right="373" w:hanging="358"/>
        <w:jc w:val="both"/>
        <w:rPr>
          <w:sz w:val="22"/>
        </w:rPr>
      </w:pPr>
      <w:r>
        <w:rPr>
          <w:sz w:val="22"/>
        </w:rPr>
        <w:t>Procedures in relation to the opening of tenders following procurement under framework agreements with the Local Government Operational Procurement Centre are currently in place.</w:t>
      </w:r>
      <w:r>
        <w:rPr>
          <w:spacing w:val="-3"/>
          <w:sz w:val="22"/>
        </w:rPr>
        <w:t> </w:t>
      </w:r>
      <w:r>
        <w:rPr>
          <w:sz w:val="22"/>
        </w:rPr>
        <w:t>Compliance</w:t>
      </w:r>
      <w:r>
        <w:rPr>
          <w:spacing w:val="-4"/>
          <w:sz w:val="22"/>
        </w:rPr>
        <w:t> </w:t>
      </w:r>
      <w:r>
        <w:rPr>
          <w:sz w:val="22"/>
        </w:rPr>
        <w:t>with</w:t>
      </w:r>
      <w:r>
        <w:rPr>
          <w:spacing w:val="-4"/>
          <w:sz w:val="22"/>
        </w:rPr>
        <w:t> </w:t>
      </w:r>
      <w:r>
        <w:rPr>
          <w:sz w:val="22"/>
        </w:rPr>
        <w:t>these</w:t>
      </w:r>
      <w:r>
        <w:rPr>
          <w:spacing w:val="-6"/>
          <w:sz w:val="22"/>
        </w:rPr>
        <w:t> </w:t>
      </w:r>
      <w:r>
        <w:rPr>
          <w:sz w:val="22"/>
        </w:rPr>
        <w:t>procedures</w:t>
      </w:r>
      <w:r>
        <w:rPr>
          <w:spacing w:val="-4"/>
          <w:sz w:val="22"/>
        </w:rPr>
        <w:t> </w:t>
      </w:r>
      <w:r>
        <w:rPr>
          <w:sz w:val="22"/>
        </w:rPr>
        <w:t>will</w:t>
      </w:r>
      <w:r>
        <w:rPr>
          <w:spacing w:val="-4"/>
          <w:sz w:val="22"/>
        </w:rPr>
        <w:t> </w:t>
      </w:r>
      <w:r>
        <w:rPr>
          <w:sz w:val="22"/>
        </w:rPr>
        <w:t>be</w:t>
      </w:r>
      <w:r>
        <w:rPr>
          <w:spacing w:val="-6"/>
          <w:sz w:val="22"/>
        </w:rPr>
        <w:t> </w:t>
      </w:r>
      <w:r>
        <w:rPr>
          <w:sz w:val="22"/>
        </w:rPr>
        <w:t>monitored</w:t>
      </w:r>
      <w:r>
        <w:rPr>
          <w:spacing w:val="-6"/>
          <w:sz w:val="22"/>
        </w:rPr>
        <w:t> </w:t>
      </w:r>
      <w:r>
        <w:rPr>
          <w:sz w:val="22"/>
        </w:rPr>
        <w:t>on</w:t>
      </w:r>
      <w:r>
        <w:rPr>
          <w:spacing w:val="-4"/>
          <w:sz w:val="22"/>
        </w:rPr>
        <w:t> </w:t>
      </w:r>
      <w:r>
        <w:rPr>
          <w:sz w:val="22"/>
        </w:rPr>
        <w:t>a</w:t>
      </w:r>
      <w:r>
        <w:rPr>
          <w:spacing w:val="-4"/>
          <w:sz w:val="22"/>
        </w:rPr>
        <w:t> </w:t>
      </w:r>
      <w:r>
        <w:rPr>
          <w:sz w:val="22"/>
        </w:rPr>
        <w:t>regular</w:t>
      </w:r>
      <w:r>
        <w:rPr>
          <w:spacing w:val="-4"/>
          <w:sz w:val="22"/>
        </w:rPr>
        <w:t> </w:t>
      </w:r>
      <w:r>
        <w:rPr>
          <w:sz w:val="22"/>
        </w:rPr>
        <w:t>basis.</w:t>
      </w:r>
    </w:p>
    <w:p>
      <w:pPr>
        <w:pStyle w:val="BodyText"/>
        <w:spacing w:before="9"/>
        <w:rPr>
          <w:sz w:val="21"/>
        </w:rPr>
      </w:pPr>
    </w:p>
    <w:p>
      <w:pPr>
        <w:pStyle w:val="Heading2"/>
        <w:numPr>
          <w:ilvl w:val="0"/>
          <w:numId w:val="3"/>
        </w:numPr>
        <w:tabs>
          <w:tab w:pos="837" w:val="left" w:leader="none"/>
          <w:tab w:pos="838" w:val="left" w:leader="none"/>
        </w:tabs>
        <w:spacing w:line="240" w:lineRule="auto" w:before="1" w:after="0"/>
        <w:ind w:left="838" w:right="0" w:hanging="720"/>
        <w:jc w:val="left"/>
      </w:pPr>
      <w:r>
        <w:rPr>
          <w:spacing w:val="-4"/>
        </w:rPr>
        <w:t>Development</w:t>
      </w:r>
      <w:r>
        <w:rPr>
          <w:spacing w:val="10"/>
        </w:rPr>
        <w:t> </w:t>
      </w:r>
      <w:r>
        <w:rPr>
          <w:spacing w:val="-4"/>
        </w:rPr>
        <w:t>Contributions</w:t>
      </w:r>
    </w:p>
    <w:p>
      <w:pPr>
        <w:pStyle w:val="BodyText"/>
        <w:spacing w:before="1"/>
        <w:rPr>
          <w:b/>
        </w:rPr>
      </w:pPr>
    </w:p>
    <w:p>
      <w:pPr>
        <w:pStyle w:val="BodyText"/>
        <w:ind w:left="838" w:right="209"/>
      </w:pPr>
      <w:r>
        <w:rPr/>
        <w:t>A </w:t>
      </w:r>
      <w:r>
        <w:rPr>
          <w:spacing w:val="-4"/>
        </w:rPr>
        <w:t>total </w:t>
      </w:r>
      <w:r>
        <w:rPr>
          <w:spacing w:val="-3"/>
        </w:rPr>
        <w:t>of €1.9m was </w:t>
      </w:r>
      <w:r>
        <w:rPr>
          <w:spacing w:val="-4"/>
        </w:rPr>
        <w:t>collected </w:t>
      </w:r>
      <w:r>
        <w:rPr>
          <w:spacing w:val="-3"/>
        </w:rPr>
        <w:t>in </w:t>
      </w:r>
      <w:r>
        <w:rPr>
          <w:spacing w:val="-4"/>
        </w:rPr>
        <w:t>2016 </w:t>
      </w:r>
      <w:r>
        <w:rPr>
          <w:spacing w:val="-3"/>
        </w:rPr>
        <w:t>in </w:t>
      </w:r>
      <w:r>
        <w:rPr>
          <w:spacing w:val="-4"/>
        </w:rPr>
        <w:t>respect </w:t>
      </w:r>
      <w:r>
        <w:rPr>
          <w:spacing w:val="-3"/>
        </w:rPr>
        <w:t>of </w:t>
      </w:r>
      <w:r>
        <w:rPr>
          <w:spacing w:val="-4"/>
        </w:rPr>
        <w:t>development contributions. There </w:t>
      </w:r>
      <w:r>
        <w:rPr>
          <w:spacing w:val="-3"/>
        </w:rPr>
        <w:t>are </w:t>
      </w:r>
      <w:r>
        <w:rPr>
          <w:spacing w:val="-4"/>
        </w:rPr>
        <w:t>insufficient </w:t>
      </w:r>
      <w:r>
        <w:rPr>
          <w:spacing w:val="-3"/>
        </w:rPr>
        <w:t>site </w:t>
      </w:r>
      <w:r>
        <w:rPr>
          <w:spacing w:val="-4"/>
        </w:rPr>
        <w:t>inspections </w:t>
      </w:r>
      <w:r>
        <w:rPr>
          <w:spacing w:val="-3"/>
        </w:rPr>
        <w:t>being </w:t>
      </w:r>
      <w:r>
        <w:rPr>
          <w:spacing w:val="-4"/>
        </w:rPr>
        <w:t>carried </w:t>
      </w:r>
      <w:r>
        <w:rPr>
          <w:spacing w:val="-3"/>
        </w:rPr>
        <w:t>to </w:t>
      </w:r>
      <w:r>
        <w:rPr>
          <w:spacing w:val="-4"/>
        </w:rPr>
        <w:t>ensure </w:t>
      </w:r>
      <w:r>
        <w:rPr>
          <w:spacing w:val="-3"/>
        </w:rPr>
        <w:t>that </w:t>
      </w:r>
      <w:r>
        <w:rPr>
          <w:spacing w:val="-4"/>
        </w:rPr>
        <w:t>developers </w:t>
      </w:r>
      <w:r>
        <w:rPr>
          <w:spacing w:val="-3"/>
        </w:rPr>
        <w:t>are </w:t>
      </w:r>
      <w:r>
        <w:rPr>
          <w:spacing w:val="-4"/>
        </w:rPr>
        <w:t>complying with </w:t>
      </w:r>
      <w:r>
        <w:rPr>
          <w:spacing w:val="-3"/>
        </w:rPr>
        <w:t>their </w:t>
      </w:r>
      <w:r>
        <w:rPr>
          <w:spacing w:val="-4"/>
        </w:rPr>
        <w:t>planning permission condition </w:t>
      </w:r>
      <w:r>
        <w:rPr>
          <w:spacing w:val="-3"/>
        </w:rPr>
        <w:t>to pay </w:t>
      </w:r>
      <w:r>
        <w:rPr>
          <w:spacing w:val="-4"/>
        </w:rPr>
        <w:t>development contributions </w:t>
      </w:r>
      <w:r>
        <w:rPr>
          <w:spacing w:val="-3"/>
        </w:rPr>
        <w:t>as they </w:t>
      </w:r>
      <w:r>
        <w:rPr>
          <w:spacing w:val="-4"/>
        </w:rPr>
        <w:t>fall due. </w:t>
      </w:r>
      <w:r>
        <w:rPr>
          <w:spacing w:val="-3"/>
        </w:rPr>
        <w:t>It is </w:t>
      </w:r>
      <w:r>
        <w:rPr>
          <w:spacing w:val="-4"/>
        </w:rPr>
        <w:t>imperative </w:t>
      </w:r>
      <w:r>
        <w:rPr>
          <w:spacing w:val="-3"/>
        </w:rPr>
        <w:t>that </w:t>
      </w:r>
      <w:r>
        <w:rPr>
          <w:spacing w:val="-4"/>
        </w:rPr>
        <w:t>regular </w:t>
      </w:r>
      <w:r>
        <w:rPr>
          <w:spacing w:val="-3"/>
        </w:rPr>
        <w:t>site </w:t>
      </w:r>
      <w:r>
        <w:rPr>
          <w:spacing w:val="-4"/>
        </w:rPr>
        <w:t>inspections </w:t>
      </w:r>
      <w:r>
        <w:rPr/>
        <w:t>be </w:t>
      </w:r>
      <w:r>
        <w:rPr>
          <w:spacing w:val="-3"/>
        </w:rPr>
        <w:t>made </w:t>
      </w:r>
      <w:r>
        <w:rPr/>
        <w:t>as </w:t>
      </w:r>
      <w:r>
        <w:rPr>
          <w:spacing w:val="-3"/>
        </w:rPr>
        <w:t>part </w:t>
      </w:r>
      <w:r>
        <w:rPr/>
        <w:t>of </w:t>
      </w:r>
      <w:r>
        <w:rPr>
          <w:spacing w:val="-3"/>
        </w:rPr>
        <w:t>the follow up </w:t>
      </w:r>
      <w:r>
        <w:rPr/>
        <w:t>of </w:t>
      </w:r>
      <w:r>
        <w:rPr>
          <w:spacing w:val="-4"/>
        </w:rPr>
        <w:t>arrears.</w:t>
      </w:r>
    </w:p>
    <w:p>
      <w:pPr>
        <w:pStyle w:val="BodyText"/>
      </w:pPr>
    </w:p>
    <w:p>
      <w:pPr>
        <w:pStyle w:val="Heading2"/>
        <w:spacing w:before="1"/>
        <w:ind w:firstLine="0"/>
      </w:pPr>
      <w:r>
        <w:rPr/>
        <w:t>Chief Executive’s Response</w:t>
      </w:r>
    </w:p>
    <w:p>
      <w:pPr>
        <w:pStyle w:val="BodyText"/>
        <w:spacing w:before="10"/>
        <w:rPr>
          <w:b/>
          <w:sz w:val="21"/>
        </w:rPr>
      </w:pPr>
    </w:p>
    <w:p>
      <w:pPr>
        <w:pStyle w:val="BodyText"/>
        <w:ind w:left="838" w:right="179"/>
      </w:pPr>
      <w:r>
        <w:rPr/>
        <w:t>The Council’s planning directorate will examine introducing new procedures to ensure regular site inspections are made regarding compliance to pay development contributions. This directorate will not, due to resourcing issues, be in a position to designate a member of staff to such a task, however, new procedures utilising existing on-site inspections such as planning applications, building control, taking in charge and enforcement inspections will be explored.</w:t>
      </w:r>
    </w:p>
    <w:p>
      <w:pPr>
        <w:pStyle w:val="BodyText"/>
        <w:spacing w:before="9"/>
        <w:rPr>
          <w:sz w:val="21"/>
        </w:rPr>
      </w:pPr>
    </w:p>
    <w:p>
      <w:pPr>
        <w:pStyle w:val="Heading2"/>
        <w:numPr>
          <w:ilvl w:val="0"/>
          <w:numId w:val="3"/>
        </w:numPr>
        <w:tabs>
          <w:tab w:pos="837" w:val="left" w:leader="none"/>
          <w:tab w:pos="838" w:val="left" w:leader="none"/>
        </w:tabs>
        <w:spacing w:line="240" w:lineRule="auto" w:before="1" w:after="0"/>
        <w:ind w:left="838" w:right="0" w:hanging="720"/>
        <w:jc w:val="left"/>
      </w:pPr>
      <w:r>
        <w:rPr>
          <w:spacing w:val="-3"/>
        </w:rPr>
        <w:t>Part </w:t>
      </w:r>
      <w:r>
        <w:rPr/>
        <w:t>V</w:t>
      </w:r>
      <w:r>
        <w:rPr>
          <w:spacing w:val="-1"/>
        </w:rPr>
        <w:t> </w:t>
      </w:r>
      <w:r>
        <w:rPr>
          <w:spacing w:val="-4"/>
        </w:rPr>
        <w:t>Register</w:t>
      </w:r>
    </w:p>
    <w:p>
      <w:pPr>
        <w:pStyle w:val="BodyText"/>
        <w:spacing w:before="11"/>
        <w:rPr>
          <w:b/>
          <w:sz w:val="21"/>
        </w:rPr>
      </w:pPr>
    </w:p>
    <w:p>
      <w:pPr>
        <w:pStyle w:val="BodyText"/>
        <w:ind w:left="838"/>
      </w:pPr>
      <w:r>
        <w:rPr>
          <w:spacing w:val="-3"/>
        </w:rPr>
        <w:t>Part </w:t>
      </w:r>
      <w:r>
        <w:rPr/>
        <w:t>2, </w:t>
      </w:r>
      <w:r>
        <w:rPr>
          <w:spacing w:val="-4"/>
        </w:rPr>
        <w:t>Section </w:t>
      </w:r>
      <w:r>
        <w:rPr/>
        <w:t>3 </w:t>
      </w:r>
      <w:r>
        <w:rPr>
          <w:spacing w:val="-3"/>
        </w:rPr>
        <w:t>of the </w:t>
      </w:r>
      <w:r>
        <w:rPr>
          <w:spacing w:val="-4"/>
        </w:rPr>
        <w:t>Planning </w:t>
      </w:r>
      <w:r>
        <w:rPr>
          <w:spacing w:val="-3"/>
        </w:rPr>
        <w:t>and </w:t>
      </w:r>
      <w:r>
        <w:rPr>
          <w:spacing w:val="-4"/>
        </w:rPr>
        <w:t>Development (amendment) Act, </w:t>
      </w:r>
      <w:r>
        <w:rPr>
          <w:spacing w:val="-3"/>
        </w:rPr>
        <w:t>2002 </w:t>
      </w:r>
      <w:r>
        <w:rPr>
          <w:spacing w:val="-4"/>
        </w:rPr>
        <w:t>requires developers </w:t>
      </w:r>
      <w:r>
        <w:rPr/>
        <w:t>to </w:t>
      </w:r>
      <w:r>
        <w:rPr>
          <w:spacing w:val="-3"/>
        </w:rPr>
        <w:t>provide land for public </w:t>
      </w:r>
      <w:r>
        <w:rPr>
          <w:spacing w:val="-4"/>
        </w:rPr>
        <w:t>housing. </w:t>
      </w:r>
      <w:r>
        <w:rPr>
          <w:spacing w:val="-3"/>
        </w:rPr>
        <w:t>This could </w:t>
      </w:r>
      <w:r>
        <w:rPr/>
        <w:t>be in </w:t>
      </w:r>
      <w:r>
        <w:rPr>
          <w:spacing w:val="-3"/>
        </w:rPr>
        <w:t>the </w:t>
      </w:r>
      <w:r>
        <w:rPr>
          <w:spacing w:val="-4"/>
        </w:rPr>
        <w:t>form </w:t>
      </w:r>
      <w:r>
        <w:rPr/>
        <w:t>of a </w:t>
      </w:r>
      <w:r>
        <w:rPr>
          <w:spacing w:val="-4"/>
        </w:rPr>
        <w:t>financial contribution, land </w:t>
      </w:r>
      <w:r>
        <w:rPr/>
        <w:t>or a </w:t>
      </w:r>
      <w:r>
        <w:rPr>
          <w:spacing w:val="-4"/>
        </w:rPr>
        <w:t>combination </w:t>
      </w:r>
      <w:r>
        <w:rPr>
          <w:spacing w:val="-3"/>
        </w:rPr>
        <w:t>of </w:t>
      </w:r>
      <w:r>
        <w:rPr>
          <w:spacing w:val="-4"/>
        </w:rPr>
        <w:t>these, </w:t>
      </w:r>
      <w:r>
        <w:rPr>
          <w:spacing w:val="-3"/>
        </w:rPr>
        <w:t>to the </w:t>
      </w:r>
      <w:r>
        <w:rPr>
          <w:spacing w:val="-4"/>
        </w:rPr>
        <w:t>local authority </w:t>
      </w:r>
      <w:r>
        <w:rPr/>
        <w:t>at </w:t>
      </w:r>
      <w:r>
        <w:rPr>
          <w:spacing w:val="-3"/>
        </w:rPr>
        <w:t>an </w:t>
      </w:r>
      <w:r>
        <w:rPr>
          <w:spacing w:val="-4"/>
        </w:rPr>
        <w:t>agreed cost. </w:t>
      </w:r>
      <w:r>
        <w:rPr>
          <w:spacing w:val="-3"/>
        </w:rPr>
        <w:t>The </w:t>
      </w:r>
      <w:r>
        <w:rPr>
          <w:spacing w:val="-4"/>
        </w:rPr>
        <w:t>purpose </w:t>
      </w:r>
      <w:r>
        <w:rPr/>
        <w:t>of </w:t>
      </w:r>
      <w:r>
        <w:rPr>
          <w:spacing w:val="-4"/>
        </w:rPr>
        <w:t>this requirement </w:t>
      </w:r>
      <w:r>
        <w:rPr>
          <w:spacing w:val="-3"/>
        </w:rPr>
        <w:t>is to assist in the </w:t>
      </w:r>
      <w:r>
        <w:rPr>
          <w:spacing w:val="-4"/>
        </w:rPr>
        <w:t>provision </w:t>
      </w:r>
      <w:r>
        <w:rPr/>
        <w:t>of </w:t>
      </w:r>
      <w:r>
        <w:rPr>
          <w:spacing w:val="-4"/>
        </w:rPr>
        <w:t>social </w:t>
      </w:r>
      <w:r>
        <w:rPr/>
        <w:t>and </w:t>
      </w:r>
      <w:r>
        <w:rPr>
          <w:spacing w:val="-4"/>
        </w:rPr>
        <w:t>affordable housing.</w:t>
      </w:r>
    </w:p>
    <w:p>
      <w:pPr>
        <w:spacing w:after="0"/>
        <w:sectPr>
          <w:pgSz w:w="11910" w:h="16840"/>
          <w:pgMar w:header="0" w:footer="447" w:top="1320" w:bottom="640" w:left="1680" w:right="1680"/>
        </w:sectPr>
      </w:pPr>
    </w:p>
    <w:p>
      <w:pPr>
        <w:pStyle w:val="BodyText"/>
        <w:spacing w:before="78"/>
        <w:ind w:left="838"/>
      </w:pPr>
      <w:r>
        <w:rPr/>
        <w:t>The </w:t>
      </w:r>
      <w:r>
        <w:rPr>
          <w:spacing w:val="-4"/>
        </w:rPr>
        <w:t>Part </w:t>
      </w:r>
      <w:r>
        <w:rPr/>
        <w:t>V </w:t>
      </w:r>
      <w:r>
        <w:rPr>
          <w:spacing w:val="-4"/>
        </w:rPr>
        <w:t>register provided </w:t>
      </w:r>
      <w:r>
        <w:rPr>
          <w:spacing w:val="-3"/>
        </w:rPr>
        <w:t>to </w:t>
      </w:r>
      <w:r>
        <w:rPr/>
        <w:t>me </w:t>
      </w:r>
      <w:r>
        <w:rPr>
          <w:spacing w:val="-4"/>
        </w:rPr>
        <w:t>indicated that </w:t>
      </w:r>
      <w:r>
        <w:rPr/>
        <w:t>a </w:t>
      </w:r>
      <w:r>
        <w:rPr>
          <w:spacing w:val="-3"/>
        </w:rPr>
        <w:t>sum of </w:t>
      </w:r>
      <w:r>
        <w:rPr>
          <w:spacing w:val="-4"/>
        </w:rPr>
        <w:t>€1.64m </w:t>
      </w:r>
      <w:r>
        <w:rPr>
          <w:spacing w:val="-3"/>
        </w:rPr>
        <w:t>was </w:t>
      </w:r>
      <w:r>
        <w:rPr>
          <w:spacing w:val="-4"/>
        </w:rPr>
        <w:t>outstanding </w:t>
      </w:r>
      <w:r>
        <w:rPr/>
        <w:t>at </w:t>
      </w:r>
      <w:r>
        <w:rPr>
          <w:spacing w:val="-3"/>
        </w:rPr>
        <w:t>year end in respect </w:t>
      </w:r>
      <w:r>
        <w:rPr/>
        <w:t>of </w:t>
      </w:r>
      <w:r>
        <w:rPr>
          <w:spacing w:val="-4"/>
        </w:rPr>
        <w:t>financial contributions. All </w:t>
      </w:r>
      <w:r>
        <w:rPr>
          <w:spacing w:val="-3"/>
        </w:rPr>
        <w:t>Part </w:t>
      </w:r>
      <w:r>
        <w:rPr/>
        <w:t>V </w:t>
      </w:r>
      <w:r>
        <w:rPr>
          <w:spacing w:val="-4"/>
        </w:rPr>
        <w:t>agreements should </w:t>
      </w:r>
      <w:r>
        <w:rPr/>
        <w:t>be </w:t>
      </w:r>
      <w:r>
        <w:rPr>
          <w:spacing w:val="-3"/>
        </w:rPr>
        <w:t>kept </w:t>
      </w:r>
      <w:r>
        <w:rPr>
          <w:spacing w:val="-4"/>
        </w:rPr>
        <w:t>under constant review including </w:t>
      </w:r>
      <w:r>
        <w:rPr>
          <w:spacing w:val="-3"/>
        </w:rPr>
        <w:t>the </w:t>
      </w:r>
      <w:r>
        <w:rPr>
          <w:spacing w:val="-4"/>
        </w:rPr>
        <w:t>carrying </w:t>
      </w:r>
      <w:r>
        <w:rPr>
          <w:spacing w:val="-3"/>
        </w:rPr>
        <w:t>out of </w:t>
      </w:r>
      <w:r>
        <w:rPr>
          <w:spacing w:val="-4"/>
        </w:rPr>
        <w:t>regular </w:t>
      </w:r>
      <w:r>
        <w:rPr>
          <w:spacing w:val="-3"/>
        </w:rPr>
        <w:t>site </w:t>
      </w:r>
      <w:r>
        <w:rPr>
          <w:spacing w:val="-4"/>
        </w:rPr>
        <w:t>inspections </w:t>
      </w:r>
      <w:r>
        <w:rPr/>
        <w:t>as </w:t>
      </w:r>
      <w:r>
        <w:rPr>
          <w:spacing w:val="-4"/>
        </w:rPr>
        <w:t>highlighted </w:t>
      </w:r>
      <w:r>
        <w:rPr/>
        <w:t>at </w:t>
      </w:r>
      <w:r>
        <w:rPr>
          <w:spacing w:val="-4"/>
        </w:rPr>
        <w:t>paragraph </w:t>
      </w:r>
      <w:r>
        <w:rPr/>
        <w:t>12 </w:t>
      </w:r>
      <w:r>
        <w:rPr>
          <w:spacing w:val="-4"/>
        </w:rPr>
        <w:t>above.</w:t>
      </w:r>
    </w:p>
    <w:p>
      <w:pPr>
        <w:pStyle w:val="BodyText"/>
      </w:pPr>
    </w:p>
    <w:p>
      <w:pPr>
        <w:pStyle w:val="Heading2"/>
        <w:spacing w:before="1"/>
        <w:ind w:firstLine="0"/>
      </w:pPr>
      <w:r>
        <w:rPr/>
        <w:t>Chief Executive’s Response</w:t>
      </w:r>
    </w:p>
    <w:p>
      <w:pPr>
        <w:pStyle w:val="BodyText"/>
        <w:spacing w:before="10"/>
        <w:rPr>
          <w:b/>
          <w:sz w:val="21"/>
        </w:rPr>
      </w:pPr>
    </w:p>
    <w:p>
      <w:pPr>
        <w:pStyle w:val="BodyText"/>
        <w:ind w:left="838" w:right="179"/>
      </w:pPr>
      <w:r>
        <w:rPr/>
        <w:t>The Council’s planning department completed the Part V register at the request of the Local Government Auditor a couple of years ago. The register is currently maintained based on the level of resources available. Part V receipts relate to housing activities and as such, are coded to the housing rather than the planning directorate. Both directorates will establish procedures for the regular reviewing of the register and specific agreements including site inspections.</w:t>
      </w:r>
    </w:p>
    <w:p>
      <w:pPr>
        <w:pStyle w:val="BodyText"/>
        <w:spacing w:before="10"/>
        <w:rPr>
          <w:sz w:val="21"/>
        </w:rPr>
      </w:pPr>
    </w:p>
    <w:p>
      <w:pPr>
        <w:pStyle w:val="Heading2"/>
        <w:numPr>
          <w:ilvl w:val="0"/>
          <w:numId w:val="3"/>
        </w:numPr>
        <w:tabs>
          <w:tab w:pos="837" w:val="left" w:leader="none"/>
          <w:tab w:pos="838" w:val="left" w:leader="none"/>
        </w:tabs>
        <w:spacing w:line="240" w:lineRule="auto" w:before="0" w:after="0"/>
        <w:ind w:left="838" w:right="0" w:hanging="720"/>
        <w:jc w:val="left"/>
      </w:pPr>
      <w:r>
        <w:rPr>
          <w:spacing w:val="-3"/>
        </w:rPr>
        <w:t>Ethics</w:t>
      </w:r>
      <w:r>
        <w:rPr>
          <w:spacing w:val="5"/>
        </w:rPr>
        <w:t> </w:t>
      </w:r>
      <w:r>
        <w:rPr>
          <w:spacing w:val="-4"/>
        </w:rPr>
        <w:t>Register</w:t>
      </w:r>
    </w:p>
    <w:p>
      <w:pPr>
        <w:pStyle w:val="BodyText"/>
        <w:spacing w:before="10"/>
        <w:rPr>
          <w:b/>
          <w:sz w:val="21"/>
        </w:rPr>
      </w:pPr>
    </w:p>
    <w:p>
      <w:pPr>
        <w:pStyle w:val="BodyText"/>
        <w:ind w:left="838" w:right="137"/>
      </w:pPr>
      <w:r>
        <w:rPr/>
        <w:t>A </w:t>
      </w:r>
      <w:r>
        <w:rPr>
          <w:spacing w:val="-4"/>
        </w:rPr>
        <w:t>number </w:t>
      </w:r>
      <w:r>
        <w:rPr/>
        <w:t>of </w:t>
      </w:r>
      <w:r>
        <w:rPr>
          <w:spacing w:val="-4"/>
        </w:rPr>
        <w:t>annual declarations </w:t>
      </w:r>
      <w:r>
        <w:rPr>
          <w:spacing w:val="-3"/>
        </w:rPr>
        <w:t>were not </w:t>
      </w:r>
      <w:r>
        <w:rPr>
          <w:spacing w:val="-4"/>
        </w:rPr>
        <w:t>returned. </w:t>
      </w:r>
      <w:r>
        <w:rPr/>
        <w:t>In </w:t>
      </w:r>
      <w:r>
        <w:rPr>
          <w:spacing w:val="-4"/>
        </w:rPr>
        <w:t>accordance </w:t>
      </w:r>
      <w:r>
        <w:rPr>
          <w:spacing w:val="-3"/>
        </w:rPr>
        <w:t>with </w:t>
      </w:r>
      <w:r>
        <w:rPr>
          <w:spacing w:val="-4"/>
        </w:rPr>
        <w:t>Part </w:t>
      </w:r>
      <w:r>
        <w:rPr>
          <w:spacing w:val="-3"/>
        </w:rPr>
        <w:t>15, </w:t>
      </w:r>
      <w:r>
        <w:rPr>
          <w:spacing w:val="-4"/>
        </w:rPr>
        <w:t>Section </w:t>
      </w:r>
      <w:r>
        <w:rPr>
          <w:spacing w:val="-3"/>
        </w:rPr>
        <w:t>171 </w:t>
      </w:r>
      <w:r>
        <w:rPr/>
        <w:t>of </w:t>
      </w:r>
      <w:r>
        <w:rPr>
          <w:spacing w:val="-3"/>
        </w:rPr>
        <w:t>the Local </w:t>
      </w:r>
      <w:r>
        <w:rPr>
          <w:spacing w:val="-4"/>
        </w:rPr>
        <w:t>Government </w:t>
      </w:r>
      <w:r>
        <w:rPr>
          <w:spacing w:val="-3"/>
        </w:rPr>
        <w:t>Act, </w:t>
      </w:r>
      <w:r>
        <w:rPr>
          <w:spacing w:val="-4"/>
        </w:rPr>
        <w:t>2001 these declarations should </w:t>
      </w:r>
      <w:r>
        <w:rPr/>
        <w:t>be </w:t>
      </w:r>
      <w:r>
        <w:rPr>
          <w:spacing w:val="-4"/>
        </w:rPr>
        <w:t>furnished </w:t>
      </w:r>
      <w:r>
        <w:rPr/>
        <w:t>to </w:t>
      </w:r>
      <w:r>
        <w:rPr>
          <w:spacing w:val="-3"/>
        </w:rPr>
        <w:t>the </w:t>
      </w:r>
      <w:r>
        <w:rPr>
          <w:spacing w:val="-4"/>
        </w:rPr>
        <w:t>ethics registrar within </w:t>
      </w:r>
      <w:r>
        <w:rPr/>
        <w:t>the </w:t>
      </w:r>
      <w:r>
        <w:rPr>
          <w:spacing w:val="-4"/>
        </w:rPr>
        <w:t>required timeframe.</w:t>
      </w:r>
    </w:p>
    <w:p>
      <w:pPr>
        <w:pStyle w:val="BodyText"/>
        <w:spacing w:before="10"/>
        <w:rPr>
          <w:sz w:val="21"/>
        </w:rPr>
      </w:pPr>
    </w:p>
    <w:p>
      <w:pPr>
        <w:pStyle w:val="BodyText"/>
        <w:ind w:left="838" w:right="490"/>
      </w:pPr>
      <w:r>
        <w:rPr/>
        <w:t>It </w:t>
      </w:r>
      <w:r>
        <w:rPr>
          <w:spacing w:val="-3"/>
        </w:rPr>
        <w:t>was </w:t>
      </w:r>
      <w:r>
        <w:rPr>
          <w:spacing w:val="-4"/>
        </w:rPr>
        <w:t>noted </w:t>
      </w:r>
      <w:r>
        <w:rPr>
          <w:spacing w:val="-3"/>
        </w:rPr>
        <w:t>that </w:t>
      </w:r>
      <w:r>
        <w:rPr>
          <w:spacing w:val="-4"/>
        </w:rPr>
        <w:t>some declarations returned </w:t>
      </w:r>
      <w:r>
        <w:rPr>
          <w:spacing w:val="-3"/>
        </w:rPr>
        <w:t>were </w:t>
      </w:r>
      <w:r>
        <w:rPr>
          <w:spacing w:val="-4"/>
        </w:rPr>
        <w:t>incomplete. </w:t>
      </w:r>
      <w:r>
        <w:rPr>
          <w:spacing w:val="-2"/>
        </w:rPr>
        <w:t>All </w:t>
      </w:r>
      <w:r>
        <w:rPr>
          <w:spacing w:val="-4"/>
        </w:rPr>
        <w:t>declaration forms returned </w:t>
      </w:r>
      <w:r>
        <w:rPr>
          <w:spacing w:val="-3"/>
        </w:rPr>
        <w:t>should </w:t>
      </w:r>
      <w:r>
        <w:rPr/>
        <w:t>be </w:t>
      </w:r>
      <w:r>
        <w:rPr>
          <w:spacing w:val="-3"/>
        </w:rPr>
        <w:t>fully </w:t>
      </w:r>
      <w:r>
        <w:rPr>
          <w:spacing w:val="-4"/>
        </w:rPr>
        <w:t>completed.</w:t>
      </w:r>
    </w:p>
    <w:p>
      <w:pPr>
        <w:pStyle w:val="BodyText"/>
      </w:pPr>
    </w:p>
    <w:p>
      <w:pPr>
        <w:pStyle w:val="BodyText"/>
        <w:spacing w:before="1"/>
        <w:ind w:left="838"/>
      </w:pPr>
      <w:r>
        <w:rPr/>
        <w:t>These matters have been highlighted at previous audits.</w:t>
      </w:r>
    </w:p>
    <w:p>
      <w:pPr>
        <w:pStyle w:val="BodyText"/>
        <w:spacing w:before="10"/>
        <w:rPr>
          <w:sz w:val="21"/>
        </w:rPr>
      </w:pPr>
    </w:p>
    <w:p>
      <w:pPr>
        <w:pStyle w:val="Heading2"/>
        <w:ind w:firstLine="0"/>
      </w:pPr>
      <w:r>
        <w:rPr/>
        <w:t>Chief Executive’s Response</w:t>
      </w:r>
    </w:p>
    <w:p>
      <w:pPr>
        <w:pStyle w:val="BodyText"/>
        <w:spacing w:before="10"/>
        <w:rPr>
          <w:b/>
          <w:sz w:val="21"/>
        </w:rPr>
      </w:pPr>
    </w:p>
    <w:p>
      <w:pPr>
        <w:pStyle w:val="BodyText"/>
        <w:ind w:left="838"/>
        <w:rPr>
          <w:b/>
        </w:rPr>
      </w:pPr>
      <w:r>
        <w:rPr/>
        <w:t>All annual declarations for 2016 have since been fully completed and returned</w:t>
      </w:r>
      <w:r>
        <w:rPr>
          <w:b/>
        </w:rPr>
        <w:t>.</w:t>
      </w:r>
    </w:p>
    <w:p>
      <w:pPr>
        <w:pStyle w:val="BodyText"/>
        <w:spacing w:before="1"/>
        <w:rPr>
          <w:b/>
        </w:rPr>
      </w:pPr>
    </w:p>
    <w:p>
      <w:pPr>
        <w:pStyle w:val="Heading2"/>
        <w:numPr>
          <w:ilvl w:val="0"/>
          <w:numId w:val="3"/>
        </w:numPr>
        <w:tabs>
          <w:tab w:pos="837" w:val="left" w:leader="none"/>
          <w:tab w:pos="838" w:val="left" w:leader="none"/>
        </w:tabs>
        <w:spacing w:line="240" w:lineRule="auto" w:before="0" w:after="0"/>
        <w:ind w:left="838" w:right="0" w:hanging="720"/>
        <w:jc w:val="left"/>
      </w:pPr>
      <w:r>
        <w:rPr>
          <w:spacing w:val="-3"/>
        </w:rPr>
        <w:t>Annual </w:t>
      </w:r>
      <w:r>
        <w:rPr>
          <w:spacing w:val="-4"/>
        </w:rPr>
        <w:t>Service Delivery</w:t>
      </w:r>
      <w:r>
        <w:rPr>
          <w:spacing w:val="7"/>
        </w:rPr>
        <w:t> </w:t>
      </w:r>
      <w:r>
        <w:rPr>
          <w:spacing w:val="-4"/>
        </w:rPr>
        <w:t>Plans</w:t>
      </w:r>
    </w:p>
    <w:p>
      <w:pPr>
        <w:pStyle w:val="BodyText"/>
        <w:spacing w:before="10"/>
        <w:rPr>
          <w:b/>
          <w:sz w:val="21"/>
        </w:rPr>
      </w:pPr>
    </w:p>
    <w:p>
      <w:pPr>
        <w:pStyle w:val="BodyText"/>
        <w:ind w:left="838"/>
      </w:pPr>
      <w:r>
        <w:rPr/>
        <w:t>The </w:t>
      </w:r>
      <w:r>
        <w:rPr>
          <w:spacing w:val="-4"/>
        </w:rPr>
        <w:t>annual service </w:t>
      </w:r>
      <w:r>
        <w:rPr>
          <w:spacing w:val="-3"/>
        </w:rPr>
        <w:t>plans </w:t>
      </w:r>
      <w:r>
        <w:rPr>
          <w:spacing w:val="-4"/>
        </w:rPr>
        <w:t>prepared </w:t>
      </w:r>
      <w:r>
        <w:rPr>
          <w:spacing w:val="-3"/>
        </w:rPr>
        <w:t>by the </w:t>
      </w:r>
      <w:r>
        <w:rPr>
          <w:spacing w:val="-4"/>
        </w:rPr>
        <w:t>Council </w:t>
      </w:r>
      <w:r>
        <w:rPr>
          <w:spacing w:val="-3"/>
        </w:rPr>
        <w:t>in </w:t>
      </w:r>
      <w:r>
        <w:rPr>
          <w:spacing w:val="-4"/>
        </w:rPr>
        <w:t>respect </w:t>
      </w:r>
      <w:r>
        <w:rPr>
          <w:spacing w:val="-3"/>
        </w:rPr>
        <w:t>of 2016 were not </w:t>
      </w:r>
      <w:r>
        <w:rPr>
          <w:spacing w:val="-4"/>
        </w:rPr>
        <w:t>submitted </w:t>
      </w:r>
      <w:r>
        <w:rPr>
          <w:spacing w:val="-3"/>
        </w:rPr>
        <w:t>to the </w:t>
      </w:r>
      <w:r>
        <w:rPr>
          <w:spacing w:val="-4"/>
        </w:rPr>
        <w:t>members </w:t>
      </w:r>
      <w:r>
        <w:rPr>
          <w:spacing w:val="-3"/>
        </w:rPr>
        <w:t>for </w:t>
      </w:r>
      <w:r>
        <w:rPr>
          <w:spacing w:val="-4"/>
        </w:rPr>
        <w:t>approval </w:t>
      </w:r>
      <w:r>
        <w:rPr/>
        <w:t>in </w:t>
      </w:r>
      <w:r>
        <w:rPr>
          <w:spacing w:val="-4"/>
        </w:rPr>
        <w:t>accordance with Section </w:t>
      </w:r>
      <w:r>
        <w:rPr/>
        <w:t>50 of </w:t>
      </w:r>
      <w:r>
        <w:rPr>
          <w:spacing w:val="-3"/>
        </w:rPr>
        <w:t>the </w:t>
      </w:r>
      <w:r>
        <w:rPr>
          <w:spacing w:val="-4"/>
        </w:rPr>
        <w:t>Local Government </w:t>
      </w:r>
      <w:r>
        <w:rPr>
          <w:spacing w:val="-3"/>
        </w:rPr>
        <w:t>Act </w:t>
      </w:r>
      <w:r>
        <w:rPr>
          <w:spacing w:val="-4"/>
        </w:rPr>
        <w:t>2014.</w:t>
      </w:r>
    </w:p>
    <w:p>
      <w:pPr>
        <w:pStyle w:val="BodyText"/>
        <w:spacing w:before="1"/>
      </w:pPr>
    </w:p>
    <w:p>
      <w:pPr>
        <w:pStyle w:val="Heading2"/>
        <w:ind w:firstLine="0"/>
      </w:pPr>
      <w:r>
        <w:rPr/>
        <w:t>Chief Executive’s Response</w:t>
      </w:r>
    </w:p>
    <w:p>
      <w:pPr>
        <w:pStyle w:val="BodyText"/>
        <w:spacing w:before="10"/>
        <w:rPr>
          <w:b/>
          <w:sz w:val="21"/>
        </w:rPr>
      </w:pPr>
    </w:p>
    <w:p>
      <w:pPr>
        <w:pStyle w:val="BodyText"/>
        <w:ind w:left="838" w:right="119"/>
      </w:pPr>
      <w:r>
        <w:rPr/>
        <w:t>The annual service plans in respect of 2016 were not formally approved. The annual service plans in respect of 2017 have been formally approved and this process will be done annually in the future.</w:t>
      </w:r>
    </w:p>
    <w:p>
      <w:pPr>
        <w:pStyle w:val="BodyText"/>
        <w:spacing w:before="1"/>
      </w:pPr>
    </w:p>
    <w:p>
      <w:pPr>
        <w:pStyle w:val="Heading2"/>
        <w:numPr>
          <w:ilvl w:val="0"/>
          <w:numId w:val="3"/>
        </w:numPr>
        <w:tabs>
          <w:tab w:pos="837" w:val="left" w:leader="none"/>
          <w:tab w:pos="838" w:val="left" w:leader="none"/>
        </w:tabs>
        <w:spacing w:line="240" w:lineRule="auto" w:before="0" w:after="0"/>
        <w:ind w:left="838" w:right="0" w:hanging="720"/>
        <w:jc w:val="left"/>
      </w:pPr>
      <w:r>
        <w:rPr>
          <w:spacing w:val="-3"/>
        </w:rPr>
        <w:t>Local </w:t>
      </w:r>
      <w:r>
        <w:rPr>
          <w:spacing w:val="-4"/>
        </w:rPr>
        <w:t>Authority</w:t>
      </w:r>
      <w:r>
        <w:rPr>
          <w:spacing w:val="10"/>
        </w:rPr>
        <w:t> </w:t>
      </w:r>
      <w:r>
        <w:rPr>
          <w:spacing w:val="-4"/>
        </w:rPr>
        <w:t>Companies</w:t>
      </w:r>
    </w:p>
    <w:p>
      <w:pPr>
        <w:pStyle w:val="BodyText"/>
        <w:spacing w:before="10"/>
        <w:rPr>
          <w:b/>
          <w:sz w:val="21"/>
        </w:rPr>
      </w:pPr>
    </w:p>
    <w:p>
      <w:pPr>
        <w:pStyle w:val="BodyText"/>
        <w:ind w:left="838" w:right="149"/>
      </w:pPr>
      <w:r>
        <w:rPr/>
        <w:t>The </w:t>
      </w:r>
      <w:r>
        <w:rPr>
          <w:spacing w:val="-4"/>
        </w:rPr>
        <w:t>Council’s interest </w:t>
      </w:r>
      <w:r>
        <w:rPr/>
        <w:t>in </w:t>
      </w:r>
      <w:r>
        <w:rPr>
          <w:spacing w:val="-4"/>
        </w:rPr>
        <w:t>companies </w:t>
      </w:r>
      <w:r>
        <w:rPr>
          <w:spacing w:val="-3"/>
        </w:rPr>
        <w:t>is </w:t>
      </w:r>
      <w:r>
        <w:rPr/>
        <w:t>set </w:t>
      </w:r>
      <w:r>
        <w:rPr>
          <w:spacing w:val="-3"/>
        </w:rPr>
        <w:t>out </w:t>
      </w:r>
      <w:r>
        <w:rPr/>
        <w:t>in </w:t>
      </w:r>
      <w:r>
        <w:rPr>
          <w:spacing w:val="-4"/>
        </w:rPr>
        <w:t>appendix </w:t>
      </w:r>
      <w:r>
        <w:rPr/>
        <w:t>8 </w:t>
      </w:r>
      <w:r>
        <w:rPr>
          <w:spacing w:val="-3"/>
        </w:rPr>
        <w:t>in the </w:t>
      </w:r>
      <w:r>
        <w:rPr>
          <w:spacing w:val="-4"/>
        </w:rPr>
        <w:t>AFS. </w:t>
      </w:r>
      <w:r>
        <w:rPr>
          <w:spacing w:val="-3"/>
        </w:rPr>
        <w:t>This table </w:t>
      </w:r>
      <w:r>
        <w:rPr>
          <w:spacing w:val="-4"/>
        </w:rPr>
        <w:t>includes information with regard </w:t>
      </w:r>
      <w:r>
        <w:rPr/>
        <w:t>to </w:t>
      </w:r>
      <w:r>
        <w:rPr>
          <w:spacing w:val="-3"/>
        </w:rPr>
        <w:t>the extent </w:t>
      </w:r>
      <w:r>
        <w:rPr/>
        <w:t>of </w:t>
      </w:r>
      <w:r>
        <w:rPr>
          <w:spacing w:val="-4"/>
        </w:rPr>
        <w:t>control exercised </w:t>
      </w:r>
      <w:r>
        <w:rPr>
          <w:spacing w:val="-3"/>
        </w:rPr>
        <w:t>by the </w:t>
      </w:r>
      <w:r>
        <w:rPr>
          <w:spacing w:val="-4"/>
        </w:rPr>
        <w:t>Council, </w:t>
      </w:r>
      <w:r>
        <w:rPr>
          <w:spacing w:val="-3"/>
        </w:rPr>
        <w:t>brief </w:t>
      </w:r>
      <w:r>
        <w:rPr>
          <w:spacing w:val="-4"/>
        </w:rPr>
        <w:t>financial details </w:t>
      </w:r>
      <w:r>
        <w:rPr>
          <w:spacing w:val="-3"/>
        </w:rPr>
        <w:t>and </w:t>
      </w:r>
      <w:r>
        <w:rPr/>
        <w:t>the </w:t>
      </w:r>
      <w:r>
        <w:rPr>
          <w:spacing w:val="-3"/>
        </w:rPr>
        <w:t>date </w:t>
      </w:r>
      <w:r>
        <w:rPr/>
        <w:t>of </w:t>
      </w:r>
      <w:r>
        <w:rPr>
          <w:spacing w:val="-3"/>
        </w:rPr>
        <w:t>the latest </w:t>
      </w:r>
      <w:r>
        <w:rPr>
          <w:spacing w:val="-4"/>
        </w:rPr>
        <w:t>financial statements received </w:t>
      </w:r>
      <w:r>
        <w:rPr/>
        <w:t>to </w:t>
      </w:r>
      <w:r>
        <w:rPr>
          <w:spacing w:val="-4"/>
        </w:rPr>
        <w:t>which this information relates. None </w:t>
      </w:r>
      <w:r>
        <w:rPr>
          <w:spacing w:val="-3"/>
        </w:rPr>
        <w:t>of </w:t>
      </w:r>
      <w:r>
        <w:rPr>
          <w:spacing w:val="-4"/>
        </w:rPr>
        <w:t>these companies </w:t>
      </w:r>
      <w:r>
        <w:rPr>
          <w:spacing w:val="-3"/>
        </w:rPr>
        <w:t>are </w:t>
      </w:r>
      <w:r>
        <w:rPr>
          <w:spacing w:val="-4"/>
        </w:rPr>
        <w:t>consolidated </w:t>
      </w:r>
      <w:r>
        <w:rPr>
          <w:spacing w:val="-3"/>
        </w:rPr>
        <w:t>in the </w:t>
      </w:r>
      <w:r>
        <w:rPr>
          <w:spacing w:val="-4"/>
        </w:rPr>
        <w:t>Council’s AFS.</w:t>
      </w:r>
    </w:p>
    <w:p>
      <w:pPr>
        <w:pStyle w:val="BodyText"/>
        <w:spacing w:before="10"/>
        <w:rPr>
          <w:sz w:val="21"/>
        </w:rPr>
      </w:pPr>
    </w:p>
    <w:p>
      <w:pPr>
        <w:pStyle w:val="Heading2"/>
        <w:numPr>
          <w:ilvl w:val="1"/>
          <w:numId w:val="3"/>
        </w:numPr>
        <w:tabs>
          <w:tab w:pos="837" w:val="left" w:leader="none"/>
          <w:tab w:pos="838" w:val="left" w:leader="none"/>
        </w:tabs>
        <w:spacing w:line="240" w:lineRule="auto" w:before="0" w:after="0"/>
        <w:ind w:left="838" w:right="0" w:hanging="720"/>
        <w:jc w:val="left"/>
      </w:pPr>
      <w:r>
        <w:rPr>
          <w:spacing w:val="-3"/>
        </w:rPr>
        <w:t>Cavan </w:t>
      </w:r>
      <w:r>
        <w:rPr>
          <w:spacing w:val="-4"/>
        </w:rPr>
        <w:t>Regional Health, Sport </w:t>
      </w:r>
      <w:r>
        <w:rPr/>
        <w:t>and </w:t>
      </w:r>
      <w:r>
        <w:rPr>
          <w:spacing w:val="-4"/>
        </w:rPr>
        <w:t>Leisure Company</w:t>
      </w:r>
      <w:r>
        <w:rPr>
          <w:spacing w:val="10"/>
        </w:rPr>
        <w:t> </w:t>
      </w:r>
      <w:r>
        <w:rPr>
          <w:spacing w:val="-4"/>
        </w:rPr>
        <w:t>Limited</w:t>
      </w:r>
    </w:p>
    <w:p>
      <w:pPr>
        <w:pStyle w:val="BodyText"/>
        <w:spacing w:before="10"/>
        <w:rPr>
          <w:b/>
          <w:sz w:val="21"/>
        </w:rPr>
      </w:pPr>
    </w:p>
    <w:p>
      <w:pPr>
        <w:pStyle w:val="BodyText"/>
        <w:ind w:left="826" w:right="190"/>
      </w:pPr>
      <w:r>
        <w:rPr/>
        <w:t>The </w:t>
      </w:r>
      <w:r>
        <w:rPr>
          <w:spacing w:val="-4"/>
        </w:rPr>
        <w:t>principal activity </w:t>
      </w:r>
      <w:r>
        <w:rPr>
          <w:spacing w:val="-3"/>
        </w:rPr>
        <w:t>of </w:t>
      </w:r>
      <w:r>
        <w:rPr>
          <w:spacing w:val="-4"/>
        </w:rPr>
        <w:t>this company </w:t>
      </w:r>
      <w:r>
        <w:rPr>
          <w:spacing w:val="-3"/>
        </w:rPr>
        <w:t>is the </w:t>
      </w:r>
      <w:r>
        <w:rPr>
          <w:spacing w:val="-4"/>
        </w:rPr>
        <w:t>provision </w:t>
      </w:r>
      <w:r>
        <w:rPr/>
        <w:t>of </w:t>
      </w:r>
      <w:r>
        <w:rPr>
          <w:spacing w:val="-3"/>
        </w:rPr>
        <w:t>sports and </w:t>
      </w:r>
      <w:r>
        <w:rPr>
          <w:spacing w:val="-4"/>
        </w:rPr>
        <w:t>leisure facilities </w:t>
      </w:r>
      <w:r>
        <w:rPr/>
        <w:t>to </w:t>
      </w:r>
      <w:r>
        <w:rPr>
          <w:spacing w:val="-3"/>
        </w:rPr>
        <w:t>the </w:t>
      </w:r>
      <w:r>
        <w:rPr>
          <w:spacing w:val="-4"/>
        </w:rPr>
        <w:t>public. </w:t>
      </w:r>
      <w:r>
        <w:rPr/>
        <w:t>In </w:t>
      </w:r>
      <w:r>
        <w:rPr>
          <w:spacing w:val="-3"/>
        </w:rPr>
        <w:t>2016, the </w:t>
      </w:r>
      <w:r>
        <w:rPr>
          <w:spacing w:val="-4"/>
        </w:rPr>
        <w:t>Council </w:t>
      </w:r>
      <w:r>
        <w:rPr>
          <w:spacing w:val="-3"/>
        </w:rPr>
        <w:t>made </w:t>
      </w:r>
      <w:r>
        <w:rPr>
          <w:spacing w:val="-4"/>
        </w:rPr>
        <w:t>payments totalling €342k </w:t>
      </w:r>
      <w:r>
        <w:rPr>
          <w:spacing w:val="-3"/>
        </w:rPr>
        <w:t>to </w:t>
      </w:r>
      <w:r>
        <w:rPr>
          <w:spacing w:val="-4"/>
        </w:rPr>
        <w:t>this company </w:t>
      </w:r>
      <w:r>
        <w:rPr>
          <w:spacing w:val="-3"/>
        </w:rPr>
        <w:t>as </w:t>
      </w:r>
      <w:r>
        <w:rPr/>
        <w:t>a </w:t>
      </w:r>
      <w:r>
        <w:rPr>
          <w:spacing w:val="-4"/>
        </w:rPr>
        <w:t>contribution </w:t>
      </w:r>
      <w:r>
        <w:rPr>
          <w:spacing w:val="-3"/>
        </w:rPr>
        <w:t>to </w:t>
      </w:r>
      <w:r>
        <w:rPr>
          <w:spacing w:val="-4"/>
        </w:rPr>
        <w:t>loan payments </w:t>
      </w:r>
      <w:r>
        <w:rPr>
          <w:spacing w:val="-3"/>
        </w:rPr>
        <w:t>and cash flow </w:t>
      </w:r>
      <w:r>
        <w:rPr>
          <w:spacing w:val="-4"/>
        </w:rPr>
        <w:t>assistance. </w:t>
      </w:r>
      <w:r>
        <w:rPr/>
        <w:t>It </w:t>
      </w:r>
      <w:r>
        <w:rPr>
          <w:spacing w:val="-3"/>
        </w:rPr>
        <w:t>also </w:t>
      </w:r>
      <w:r>
        <w:rPr>
          <w:spacing w:val="-4"/>
        </w:rPr>
        <w:t>includes </w:t>
      </w:r>
      <w:r>
        <w:rPr/>
        <w:t>a </w:t>
      </w:r>
      <w:r>
        <w:rPr>
          <w:spacing w:val="-4"/>
        </w:rPr>
        <w:t>contribution </w:t>
      </w:r>
      <w:r>
        <w:rPr>
          <w:spacing w:val="-3"/>
        </w:rPr>
        <w:t>to </w:t>
      </w:r>
      <w:r>
        <w:rPr>
          <w:spacing w:val="-4"/>
        </w:rPr>
        <w:t>capital refurbishment activities carried </w:t>
      </w:r>
      <w:r>
        <w:rPr>
          <w:spacing w:val="-3"/>
        </w:rPr>
        <w:t>out </w:t>
      </w:r>
      <w:r>
        <w:rPr>
          <w:spacing w:val="-4"/>
        </w:rPr>
        <w:t>during</w:t>
      </w:r>
      <w:r>
        <w:rPr>
          <w:spacing w:val="15"/>
        </w:rPr>
        <w:t> </w:t>
      </w:r>
      <w:r>
        <w:rPr>
          <w:spacing w:val="-4"/>
        </w:rPr>
        <w:t>2016.</w:t>
      </w:r>
    </w:p>
    <w:p>
      <w:pPr>
        <w:spacing w:after="0"/>
        <w:sectPr>
          <w:pgSz w:w="11910" w:h="16840"/>
          <w:pgMar w:header="0" w:footer="447" w:top="1320" w:bottom="640" w:left="1680" w:right="1680"/>
        </w:sectPr>
      </w:pPr>
    </w:p>
    <w:p>
      <w:pPr>
        <w:pStyle w:val="BodyText"/>
        <w:spacing w:before="78"/>
        <w:ind w:left="826" w:right="209"/>
      </w:pPr>
      <w:r>
        <w:rPr/>
        <w:t>The </w:t>
      </w:r>
      <w:r>
        <w:rPr>
          <w:spacing w:val="-4"/>
        </w:rPr>
        <w:t>most recent audited accounts received </w:t>
      </w:r>
      <w:r>
        <w:rPr/>
        <w:t>in </w:t>
      </w:r>
      <w:r>
        <w:rPr>
          <w:spacing w:val="-3"/>
        </w:rPr>
        <w:t>respect of </w:t>
      </w:r>
      <w:r>
        <w:rPr>
          <w:spacing w:val="-4"/>
        </w:rPr>
        <w:t>this company </w:t>
      </w:r>
      <w:r>
        <w:rPr/>
        <w:t>are </w:t>
      </w:r>
      <w:r>
        <w:rPr>
          <w:spacing w:val="-3"/>
        </w:rPr>
        <w:t>for </w:t>
      </w:r>
      <w:r>
        <w:rPr/>
        <w:t>the </w:t>
      </w:r>
      <w:r>
        <w:rPr>
          <w:spacing w:val="-4"/>
        </w:rPr>
        <w:t>period </w:t>
      </w:r>
      <w:r>
        <w:rPr/>
        <w:t>1 </w:t>
      </w:r>
      <w:r>
        <w:rPr>
          <w:spacing w:val="-4"/>
        </w:rPr>
        <w:t>July </w:t>
      </w:r>
      <w:r>
        <w:rPr>
          <w:spacing w:val="-3"/>
        </w:rPr>
        <w:t>2014 to </w:t>
      </w:r>
      <w:r>
        <w:rPr/>
        <w:t>31 </w:t>
      </w:r>
      <w:r>
        <w:rPr>
          <w:spacing w:val="-4"/>
        </w:rPr>
        <w:t>December </w:t>
      </w:r>
      <w:r>
        <w:rPr>
          <w:spacing w:val="-3"/>
        </w:rPr>
        <w:t>2015, when </w:t>
      </w:r>
      <w:r>
        <w:rPr/>
        <w:t>it </w:t>
      </w:r>
      <w:r>
        <w:rPr>
          <w:spacing w:val="-4"/>
        </w:rPr>
        <w:t>recorded </w:t>
      </w:r>
      <w:r>
        <w:rPr/>
        <w:t>a </w:t>
      </w:r>
      <w:r>
        <w:rPr>
          <w:spacing w:val="-4"/>
        </w:rPr>
        <w:t>deficit </w:t>
      </w:r>
      <w:r>
        <w:rPr>
          <w:spacing w:val="-3"/>
        </w:rPr>
        <w:t>for the </w:t>
      </w:r>
      <w:r>
        <w:rPr>
          <w:spacing w:val="-4"/>
        </w:rPr>
        <w:t>period </w:t>
      </w:r>
      <w:r>
        <w:rPr/>
        <w:t>of </w:t>
      </w:r>
      <w:r>
        <w:rPr>
          <w:spacing w:val="-3"/>
        </w:rPr>
        <w:t>€4k </w:t>
      </w:r>
      <w:r>
        <w:rPr>
          <w:spacing w:val="-4"/>
        </w:rPr>
        <w:t>(surplus </w:t>
      </w:r>
      <w:r>
        <w:rPr/>
        <w:t>of </w:t>
      </w:r>
      <w:r>
        <w:rPr>
          <w:spacing w:val="-4"/>
        </w:rPr>
        <w:t>€16k </w:t>
      </w:r>
      <w:r>
        <w:rPr>
          <w:spacing w:val="-3"/>
        </w:rPr>
        <w:t>for year ended 30 June </w:t>
      </w:r>
      <w:r>
        <w:rPr>
          <w:spacing w:val="-4"/>
        </w:rPr>
        <w:t>2014). </w:t>
      </w:r>
      <w:r>
        <w:rPr>
          <w:spacing w:val="-3"/>
        </w:rPr>
        <w:t>The </w:t>
      </w:r>
      <w:r>
        <w:rPr>
          <w:spacing w:val="-4"/>
        </w:rPr>
        <w:t>accounts disclose </w:t>
      </w:r>
      <w:r>
        <w:rPr>
          <w:spacing w:val="-3"/>
        </w:rPr>
        <w:t>that the </w:t>
      </w:r>
      <w:r>
        <w:rPr>
          <w:spacing w:val="-4"/>
        </w:rPr>
        <w:t>company </w:t>
      </w:r>
      <w:r>
        <w:rPr>
          <w:spacing w:val="-3"/>
        </w:rPr>
        <w:t>relies </w:t>
      </w:r>
      <w:r>
        <w:rPr/>
        <w:t>on </w:t>
      </w:r>
      <w:r>
        <w:rPr>
          <w:spacing w:val="-3"/>
        </w:rPr>
        <w:t>the </w:t>
      </w:r>
      <w:r>
        <w:rPr>
          <w:spacing w:val="-4"/>
        </w:rPr>
        <w:t>Council </w:t>
      </w:r>
      <w:r>
        <w:rPr>
          <w:spacing w:val="-3"/>
        </w:rPr>
        <w:t>to </w:t>
      </w:r>
      <w:r>
        <w:rPr>
          <w:spacing w:val="-4"/>
        </w:rPr>
        <w:t>fund </w:t>
      </w:r>
      <w:r>
        <w:rPr/>
        <w:t>the </w:t>
      </w:r>
      <w:r>
        <w:rPr>
          <w:spacing w:val="-4"/>
        </w:rPr>
        <w:t>repayments </w:t>
      </w:r>
      <w:r>
        <w:rPr/>
        <w:t>of </w:t>
      </w:r>
      <w:r>
        <w:rPr>
          <w:spacing w:val="-4"/>
        </w:rPr>
        <w:t>loans </w:t>
      </w:r>
      <w:r>
        <w:rPr>
          <w:spacing w:val="-3"/>
        </w:rPr>
        <w:t>and that </w:t>
      </w:r>
      <w:r>
        <w:rPr>
          <w:spacing w:val="-4"/>
        </w:rPr>
        <w:t>Cavan County Council </w:t>
      </w:r>
      <w:r>
        <w:rPr>
          <w:spacing w:val="-3"/>
        </w:rPr>
        <w:t>has given </w:t>
      </w:r>
      <w:r>
        <w:rPr>
          <w:spacing w:val="-4"/>
        </w:rPr>
        <w:t>assurance </w:t>
      </w:r>
      <w:r>
        <w:rPr>
          <w:spacing w:val="-3"/>
        </w:rPr>
        <w:t>that </w:t>
      </w:r>
      <w:r>
        <w:rPr/>
        <w:t>it </w:t>
      </w:r>
      <w:r>
        <w:rPr>
          <w:spacing w:val="-3"/>
        </w:rPr>
        <w:t>will </w:t>
      </w:r>
      <w:r>
        <w:rPr>
          <w:spacing w:val="-4"/>
        </w:rPr>
        <w:t>continue </w:t>
      </w:r>
      <w:r>
        <w:rPr/>
        <w:t>to </w:t>
      </w:r>
      <w:r>
        <w:rPr>
          <w:spacing w:val="-3"/>
        </w:rPr>
        <w:t>support the </w:t>
      </w:r>
      <w:r>
        <w:rPr>
          <w:spacing w:val="-4"/>
        </w:rPr>
        <w:t>company </w:t>
      </w:r>
      <w:r>
        <w:rPr>
          <w:spacing w:val="-3"/>
        </w:rPr>
        <w:t>for the next </w:t>
      </w:r>
      <w:r>
        <w:rPr/>
        <w:t>12 </w:t>
      </w:r>
      <w:r>
        <w:rPr>
          <w:spacing w:val="-4"/>
        </w:rPr>
        <w:t>months.</w:t>
      </w:r>
    </w:p>
    <w:p>
      <w:pPr>
        <w:pStyle w:val="BodyText"/>
        <w:spacing w:before="10"/>
        <w:rPr>
          <w:sz w:val="21"/>
        </w:rPr>
      </w:pPr>
    </w:p>
    <w:p>
      <w:pPr>
        <w:pStyle w:val="Heading2"/>
        <w:numPr>
          <w:ilvl w:val="1"/>
          <w:numId w:val="3"/>
        </w:numPr>
        <w:tabs>
          <w:tab w:pos="837" w:val="left" w:leader="none"/>
          <w:tab w:pos="838" w:val="left" w:leader="none"/>
        </w:tabs>
        <w:spacing w:line="240" w:lineRule="auto" w:before="0" w:after="0"/>
        <w:ind w:left="838" w:right="0" w:hanging="720"/>
        <w:jc w:val="left"/>
      </w:pPr>
      <w:r>
        <w:rPr>
          <w:spacing w:val="-4"/>
        </w:rPr>
        <w:t>Glassell</w:t>
      </w:r>
      <w:r>
        <w:rPr>
          <w:spacing w:val="10"/>
        </w:rPr>
        <w:t> </w:t>
      </w:r>
      <w:r>
        <w:rPr>
          <w:spacing w:val="-4"/>
        </w:rPr>
        <w:t>Limited</w:t>
      </w:r>
    </w:p>
    <w:p>
      <w:pPr>
        <w:pStyle w:val="BodyText"/>
        <w:spacing w:before="10"/>
        <w:rPr>
          <w:b/>
          <w:sz w:val="21"/>
        </w:rPr>
      </w:pPr>
    </w:p>
    <w:p>
      <w:pPr>
        <w:pStyle w:val="BodyText"/>
        <w:ind w:left="826" w:right="149"/>
      </w:pPr>
      <w:r>
        <w:rPr/>
        <w:t>The </w:t>
      </w:r>
      <w:r>
        <w:rPr>
          <w:spacing w:val="-4"/>
        </w:rPr>
        <w:t>principal activity </w:t>
      </w:r>
      <w:r>
        <w:rPr>
          <w:spacing w:val="-3"/>
        </w:rPr>
        <w:t>of </w:t>
      </w:r>
      <w:r>
        <w:rPr>
          <w:spacing w:val="-4"/>
        </w:rPr>
        <w:t>this company </w:t>
      </w:r>
      <w:r>
        <w:rPr>
          <w:spacing w:val="-3"/>
        </w:rPr>
        <w:t>is the </w:t>
      </w:r>
      <w:r>
        <w:rPr>
          <w:spacing w:val="-4"/>
        </w:rPr>
        <w:t>operation </w:t>
      </w:r>
      <w:r>
        <w:rPr/>
        <w:t>of a </w:t>
      </w:r>
      <w:r>
        <w:rPr>
          <w:spacing w:val="-3"/>
        </w:rPr>
        <w:t>multi story car park </w:t>
      </w:r>
      <w:r>
        <w:rPr/>
        <w:t>in </w:t>
      </w:r>
      <w:r>
        <w:rPr>
          <w:spacing w:val="-4"/>
        </w:rPr>
        <w:t>Cavan town. </w:t>
      </w:r>
      <w:r>
        <w:rPr>
          <w:spacing w:val="-5"/>
        </w:rPr>
        <w:t>In </w:t>
      </w:r>
      <w:r>
        <w:rPr>
          <w:spacing w:val="-3"/>
        </w:rPr>
        <w:t>2016, the </w:t>
      </w:r>
      <w:r>
        <w:rPr>
          <w:spacing w:val="-4"/>
        </w:rPr>
        <w:t>Council </w:t>
      </w:r>
      <w:r>
        <w:rPr>
          <w:spacing w:val="-3"/>
        </w:rPr>
        <w:t>made </w:t>
      </w:r>
      <w:r>
        <w:rPr>
          <w:spacing w:val="-4"/>
        </w:rPr>
        <w:t>payments totaling €100k </w:t>
      </w:r>
      <w:r>
        <w:rPr/>
        <w:t>to </w:t>
      </w:r>
      <w:r>
        <w:rPr>
          <w:spacing w:val="-4"/>
        </w:rPr>
        <w:t>this company </w:t>
      </w:r>
      <w:r>
        <w:rPr>
          <w:spacing w:val="-3"/>
        </w:rPr>
        <w:t>as </w:t>
      </w:r>
      <w:r>
        <w:rPr/>
        <w:t>a </w:t>
      </w:r>
      <w:r>
        <w:rPr>
          <w:spacing w:val="-4"/>
        </w:rPr>
        <w:t>contribution </w:t>
      </w:r>
      <w:r>
        <w:rPr/>
        <w:t>to </w:t>
      </w:r>
      <w:r>
        <w:rPr>
          <w:spacing w:val="-3"/>
        </w:rPr>
        <w:t>the </w:t>
      </w:r>
      <w:r>
        <w:rPr>
          <w:spacing w:val="-4"/>
        </w:rPr>
        <w:t>running </w:t>
      </w:r>
      <w:r>
        <w:rPr>
          <w:spacing w:val="-3"/>
        </w:rPr>
        <w:t>costs.</w:t>
      </w:r>
    </w:p>
    <w:p>
      <w:pPr>
        <w:pStyle w:val="BodyText"/>
        <w:spacing w:before="10"/>
        <w:rPr>
          <w:sz w:val="21"/>
        </w:rPr>
      </w:pPr>
    </w:p>
    <w:p>
      <w:pPr>
        <w:pStyle w:val="BodyText"/>
        <w:ind w:left="838" w:right="156"/>
      </w:pPr>
      <w:r>
        <w:rPr/>
        <w:t>The </w:t>
      </w:r>
      <w:r>
        <w:rPr>
          <w:spacing w:val="-4"/>
        </w:rPr>
        <w:t>most recent accounts received </w:t>
      </w:r>
      <w:r>
        <w:rPr>
          <w:spacing w:val="-3"/>
        </w:rPr>
        <w:t>in </w:t>
      </w:r>
      <w:r>
        <w:rPr>
          <w:spacing w:val="-4"/>
        </w:rPr>
        <w:t>respect </w:t>
      </w:r>
      <w:r>
        <w:rPr>
          <w:spacing w:val="-3"/>
        </w:rPr>
        <w:t>of </w:t>
      </w:r>
      <w:r>
        <w:rPr>
          <w:spacing w:val="-4"/>
        </w:rPr>
        <w:t>this company </w:t>
      </w:r>
      <w:r>
        <w:rPr/>
        <w:t>are for </w:t>
      </w:r>
      <w:r>
        <w:rPr>
          <w:spacing w:val="-3"/>
        </w:rPr>
        <w:t>the year </w:t>
      </w:r>
      <w:r>
        <w:rPr>
          <w:spacing w:val="-4"/>
        </w:rPr>
        <w:t>ended </w:t>
      </w:r>
      <w:r>
        <w:rPr>
          <w:spacing w:val="-3"/>
        </w:rPr>
        <w:t>31 </w:t>
      </w:r>
      <w:r>
        <w:rPr>
          <w:spacing w:val="-4"/>
        </w:rPr>
        <w:t>December </w:t>
      </w:r>
      <w:r>
        <w:rPr>
          <w:spacing w:val="-3"/>
        </w:rPr>
        <w:t>2015 when </w:t>
      </w:r>
      <w:r>
        <w:rPr/>
        <w:t>it </w:t>
      </w:r>
      <w:r>
        <w:rPr>
          <w:spacing w:val="-4"/>
        </w:rPr>
        <w:t>recorded </w:t>
      </w:r>
      <w:r>
        <w:rPr/>
        <w:t>a </w:t>
      </w:r>
      <w:r>
        <w:rPr>
          <w:spacing w:val="-4"/>
        </w:rPr>
        <w:t>deficit </w:t>
      </w:r>
      <w:r>
        <w:rPr/>
        <w:t>of </w:t>
      </w:r>
      <w:r>
        <w:rPr>
          <w:spacing w:val="-4"/>
        </w:rPr>
        <w:t>€44k (surplus </w:t>
      </w:r>
      <w:r>
        <w:rPr/>
        <w:t>of </w:t>
      </w:r>
      <w:r>
        <w:rPr>
          <w:spacing w:val="-4"/>
        </w:rPr>
        <w:t>€34k </w:t>
      </w:r>
      <w:r>
        <w:rPr>
          <w:spacing w:val="-3"/>
        </w:rPr>
        <w:t>in </w:t>
      </w:r>
      <w:r>
        <w:rPr>
          <w:spacing w:val="-4"/>
        </w:rPr>
        <w:t>2014). These accounts </w:t>
      </w:r>
      <w:r>
        <w:rPr>
          <w:spacing w:val="-3"/>
        </w:rPr>
        <w:t>were </w:t>
      </w:r>
      <w:r>
        <w:rPr/>
        <w:t>not </w:t>
      </w:r>
      <w:r>
        <w:rPr>
          <w:spacing w:val="-4"/>
        </w:rPr>
        <w:t>audited </w:t>
      </w:r>
      <w:r>
        <w:rPr>
          <w:spacing w:val="-3"/>
        </w:rPr>
        <w:t>as the </w:t>
      </w:r>
      <w:r>
        <w:rPr>
          <w:spacing w:val="-4"/>
        </w:rPr>
        <w:t>company </w:t>
      </w:r>
      <w:r>
        <w:rPr>
          <w:spacing w:val="-3"/>
        </w:rPr>
        <w:t>availed of audit </w:t>
      </w:r>
      <w:r>
        <w:rPr>
          <w:spacing w:val="-4"/>
        </w:rPr>
        <w:t>exemption </w:t>
      </w:r>
      <w:r>
        <w:rPr/>
        <w:t>on </w:t>
      </w:r>
      <w:r>
        <w:rPr>
          <w:spacing w:val="-3"/>
        </w:rPr>
        <w:t>the </w:t>
      </w:r>
      <w:r>
        <w:rPr>
          <w:spacing w:val="-4"/>
        </w:rPr>
        <w:t>grounds </w:t>
      </w:r>
      <w:r>
        <w:rPr>
          <w:spacing w:val="-3"/>
        </w:rPr>
        <w:t>that </w:t>
      </w:r>
      <w:r>
        <w:rPr/>
        <w:t>it </w:t>
      </w:r>
      <w:r>
        <w:rPr>
          <w:spacing w:val="-4"/>
        </w:rPr>
        <w:t>meets </w:t>
      </w:r>
      <w:r>
        <w:rPr>
          <w:spacing w:val="-3"/>
        </w:rPr>
        <w:t>the </w:t>
      </w:r>
      <w:r>
        <w:rPr>
          <w:spacing w:val="-4"/>
        </w:rPr>
        <w:t>conditions specified </w:t>
      </w:r>
      <w:r>
        <w:rPr>
          <w:spacing w:val="-3"/>
        </w:rPr>
        <w:t>in </w:t>
      </w:r>
      <w:r>
        <w:rPr>
          <w:spacing w:val="-4"/>
        </w:rPr>
        <w:t>Section </w:t>
      </w:r>
      <w:r>
        <w:rPr>
          <w:spacing w:val="-3"/>
        </w:rPr>
        <w:t>358 </w:t>
      </w:r>
      <w:r>
        <w:rPr/>
        <w:t>of </w:t>
      </w:r>
      <w:r>
        <w:rPr>
          <w:spacing w:val="-3"/>
        </w:rPr>
        <w:t>the </w:t>
      </w:r>
      <w:r>
        <w:rPr>
          <w:spacing w:val="-4"/>
        </w:rPr>
        <w:t>Companies </w:t>
      </w:r>
      <w:r>
        <w:rPr>
          <w:spacing w:val="-3"/>
        </w:rPr>
        <w:t>Act</w:t>
      </w:r>
      <w:r>
        <w:rPr>
          <w:spacing w:val="5"/>
        </w:rPr>
        <w:t> </w:t>
      </w:r>
      <w:r>
        <w:rPr>
          <w:spacing w:val="-4"/>
        </w:rPr>
        <w:t>2014.</w:t>
      </w:r>
    </w:p>
    <w:p>
      <w:pPr>
        <w:pStyle w:val="BodyText"/>
        <w:spacing w:before="9"/>
        <w:rPr>
          <w:sz w:val="21"/>
        </w:rPr>
      </w:pPr>
    </w:p>
    <w:p>
      <w:pPr>
        <w:pStyle w:val="BodyText"/>
        <w:spacing w:before="1"/>
        <w:ind w:left="838" w:right="74"/>
      </w:pPr>
      <w:r>
        <w:rPr/>
        <w:t>In </w:t>
      </w:r>
      <w:r>
        <w:rPr>
          <w:spacing w:val="-3"/>
        </w:rPr>
        <w:t>2015 </w:t>
      </w:r>
      <w:r>
        <w:rPr/>
        <w:t>the </w:t>
      </w:r>
      <w:r>
        <w:rPr>
          <w:spacing w:val="-4"/>
        </w:rPr>
        <w:t>Council </w:t>
      </w:r>
      <w:r>
        <w:rPr>
          <w:spacing w:val="-3"/>
        </w:rPr>
        <w:t>made </w:t>
      </w:r>
      <w:r>
        <w:rPr>
          <w:spacing w:val="-4"/>
        </w:rPr>
        <w:t>payments totalling €238k </w:t>
      </w:r>
      <w:r>
        <w:rPr>
          <w:spacing w:val="-3"/>
        </w:rPr>
        <w:t>to this </w:t>
      </w:r>
      <w:r>
        <w:rPr>
          <w:spacing w:val="-4"/>
        </w:rPr>
        <w:t>company. </w:t>
      </w:r>
      <w:r>
        <w:rPr/>
        <w:t>The </w:t>
      </w:r>
      <w:r>
        <w:rPr>
          <w:spacing w:val="-4"/>
        </w:rPr>
        <w:t>directors report which </w:t>
      </w:r>
      <w:r>
        <w:rPr>
          <w:spacing w:val="-3"/>
        </w:rPr>
        <w:t>forms part </w:t>
      </w:r>
      <w:r>
        <w:rPr/>
        <w:t>of </w:t>
      </w:r>
      <w:r>
        <w:rPr>
          <w:spacing w:val="-3"/>
        </w:rPr>
        <w:t>the </w:t>
      </w:r>
      <w:r>
        <w:rPr>
          <w:spacing w:val="-4"/>
        </w:rPr>
        <w:t>accounts states </w:t>
      </w:r>
      <w:r>
        <w:rPr>
          <w:spacing w:val="-3"/>
        </w:rPr>
        <w:t>the </w:t>
      </w:r>
      <w:r>
        <w:rPr>
          <w:spacing w:val="-4"/>
        </w:rPr>
        <w:t>company continues </w:t>
      </w:r>
      <w:r>
        <w:rPr/>
        <w:t>to </w:t>
      </w:r>
      <w:r>
        <w:rPr>
          <w:spacing w:val="-3"/>
        </w:rPr>
        <w:t>need </w:t>
      </w:r>
      <w:r>
        <w:rPr/>
        <w:t>the </w:t>
      </w:r>
      <w:r>
        <w:rPr>
          <w:spacing w:val="-4"/>
        </w:rPr>
        <w:t>support </w:t>
      </w:r>
      <w:r>
        <w:rPr/>
        <w:t>and </w:t>
      </w:r>
      <w:r>
        <w:rPr>
          <w:spacing w:val="-4"/>
        </w:rPr>
        <w:t>financial undertaking </w:t>
      </w:r>
      <w:r>
        <w:rPr>
          <w:spacing w:val="-3"/>
        </w:rPr>
        <w:t>from </w:t>
      </w:r>
      <w:r>
        <w:rPr>
          <w:spacing w:val="-4"/>
        </w:rPr>
        <w:t>Cavan County Council, </w:t>
      </w:r>
      <w:r>
        <w:rPr>
          <w:spacing w:val="-3"/>
        </w:rPr>
        <w:t>and </w:t>
      </w:r>
      <w:r>
        <w:rPr>
          <w:spacing w:val="-4"/>
        </w:rPr>
        <w:t>accordingly </w:t>
      </w:r>
      <w:r>
        <w:rPr>
          <w:spacing w:val="-3"/>
        </w:rPr>
        <w:t>they </w:t>
      </w:r>
      <w:r>
        <w:rPr>
          <w:spacing w:val="-4"/>
        </w:rPr>
        <w:t>continue </w:t>
      </w:r>
      <w:r>
        <w:rPr>
          <w:spacing w:val="-3"/>
        </w:rPr>
        <w:t>to adopt the going concern basis.</w:t>
      </w:r>
    </w:p>
    <w:p>
      <w:pPr>
        <w:pStyle w:val="BodyText"/>
        <w:spacing w:before="10"/>
        <w:rPr>
          <w:sz w:val="21"/>
        </w:rPr>
      </w:pPr>
    </w:p>
    <w:p>
      <w:pPr>
        <w:pStyle w:val="Heading2"/>
        <w:ind w:firstLine="0"/>
      </w:pPr>
      <w:r>
        <w:rPr/>
        <w:t>Chief Executive’s Response</w:t>
      </w:r>
    </w:p>
    <w:p>
      <w:pPr>
        <w:pStyle w:val="BodyText"/>
        <w:spacing w:before="9"/>
        <w:rPr>
          <w:b/>
          <w:sz w:val="21"/>
        </w:rPr>
      </w:pPr>
    </w:p>
    <w:p>
      <w:pPr>
        <w:pStyle w:val="BodyText"/>
        <w:spacing w:before="1"/>
        <w:ind w:left="838" w:right="149"/>
      </w:pPr>
      <w:r>
        <w:rPr>
          <w:spacing w:val="-3"/>
        </w:rPr>
        <w:t>Both these </w:t>
      </w:r>
      <w:r>
        <w:rPr>
          <w:spacing w:val="-4"/>
        </w:rPr>
        <w:t>companies will require ongoing financial assistance </w:t>
      </w:r>
      <w:r>
        <w:rPr>
          <w:spacing w:val="-3"/>
        </w:rPr>
        <w:t>from the </w:t>
      </w:r>
      <w:r>
        <w:rPr>
          <w:spacing w:val="-4"/>
        </w:rPr>
        <w:t>Council. </w:t>
      </w:r>
      <w:r>
        <w:rPr>
          <w:spacing w:val="-3"/>
        </w:rPr>
        <w:t>The </w:t>
      </w:r>
      <w:r>
        <w:rPr>
          <w:spacing w:val="-4"/>
        </w:rPr>
        <w:t>2016 payments </w:t>
      </w:r>
      <w:r>
        <w:rPr/>
        <w:t>to </w:t>
      </w:r>
      <w:r>
        <w:rPr>
          <w:spacing w:val="-3"/>
        </w:rPr>
        <w:t>Cavan </w:t>
      </w:r>
      <w:r>
        <w:rPr>
          <w:spacing w:val="-4"/>
        </w:rPr>
        <w:t>Regional Health, Sports </w:t>
      </w:r>
      <w:r>
        <w:rPr>
          <w:spacing w:val="-3"/>
        </w:rPr>
        <w:t>and Leisure </w:t>
      </w:r>
      <w:r>
        <w:rPr>
          <w:spacing w:val="-4"/>
        </w:rPr>
        <w:t>Company Limited include </w:t>
      </w:r>
      <w:r>
        <w:rPr/>
        <w:t>an </w:t>
      </w:r>
      <w:r>
        <w:rPr>
          <w:spacing w:val="-4"/>
        </w:rPr>
        <w:t>amount </w:t>
      </w:r>
      <w:r>
        <w:rPr/>
        <w:t>of</w:t>
      </w:r>
    </w:p>
    <w:p>
      <w:pPr>
        <w:pStyle w:val="BodyText"/>
        <w:spacing w:before="2"/>
        <w:ind w:left="838" w:right="149"/>
      </w:pPr>
      <w:r>
        <w:rPr>
          <w:spacing w:val="-3"/>
        </w:rPr>
        <w:t>€112k in </w:t>
      </w:r>
      <w:r>
        <w:rPr>
          <w:spacing w:val="-4"/>
        </w:rPr>
        <w:t>respect </w:t>
      </w:r>
      <w:r>
        <w:rPr/>
        <w:t>of </w:t>
      </w:r>
      <w:r>
        <w:rPr>
          <w:spacing w:val="-4"/>
        </w:rPr>
        <w:t>refurbishment </w:t>
      </w:r>
      <w:r>
        <w:rPr>
          <w:spacing w:val="-3"/>
        </w:rPr>
        <w:t>costs and </w:t>
      </w:r>
      <w:r>
        <w:rPr>
          <w:spacing w:val="-4"/>
        </w:rPr>
        <w:t>equipment </w:t>
      </w:r>
      <w:r>
        <w:rPr/>
        <w:t>at </w:t>
      </w:r>
      <w:r>
        <w:rPr>
          <w:spacing w:val="-3"/>
        </w:rPr>
        <w:t>the </w:t>
      </w:r>
      <w:r>
        <w:rPr>
          <w:spacing w:val="-4"/>
        </w:rPr>
        <w:t>leisure centre. </w:t>
      </w:r>
      <w:r>
        <w:rPr>
          <w:spacing w:val="-3"/>
        </w:rPr>
        <w:t>There is </w:t>
      </w:r>
      <w:r>
        <w:rPr/>
        <w:t>a </w:t>
      </w:r>
      <w:r>
        <w:rPr>
          <w:spacing w:val="-4"/>
        </w:rPr>
        <w:t>significant reduction </w:t>
      </w:r>
      <w:r>
        <w:rPr/>
        <w:t>in </w:t>
      </w:r>
      <w:r>
        <w:rPr>
          <w:spacing w:val="-4"/>
        </w:rPr>
        <w:t>financial assistance provided </w:t>
      </w:r>
      <w:r>
        <w:rPr/>
        <w:t>by </w:t>
      </w:r>
      <w:r>
        <w:rPr>
          <w:spacing w:val="-3"/>
        </w:rPr>
        <w:t>the </w:t>
      </w:r>
      <w:r>
        <w:rPr>
          <w:spacing w:val="-4"/>
        </w:rPr>
        <w:t>Council </w:t>
      </w:r>
      <w:r>
        <w:rPr>
          <w:spacing w:val="-3"/>
        </w:rPr>
        <w:t>in the 2017 </w:t>
      </w:r>
      <w:r>
        <w:rPr>
          <w:spacing w:val="-4"/>
        </w:rPr>
        <w:t>budget </w:t>
      </w:r>
      <w:r>
        <w:rPr>
          <w:spacing w:val="-3"/>
        </w:rPr>
        <w:t>to both </w:t>
      </w:r>
      <w:r>
        <w:rPr/>
        <w:t>of </w:t>
      </w:r>
      <w:r>
        <w:rPr>
          <w:spacing w:val="-4"/>
        </w:rPr>
        <w:t>these companies. </w:t>
      </w:r>
      <w:r>
        <w:rPr>
          <w:spacing w:val="-3"/>
        </w:rPr>
        <w:t>The </w:t>
      </w:r>
      <w:r>
        <w:rPr>
          <w:spacing w:val="-4"/>
        </w:rPr>
        <w:t>amount provided </w:t>
      </w:r>
      <w:r>
        <w:rPr/>
        <w:t>for </w:t>
      </w:r>
      <w:r>
        <w:rPr>
          <w:spacing w:val="-4"/>
        </w:rPr>
        <w:t>Cavan Regional Health, Sports </w:t>
      </w:r>
      <w:r>
        <w:rPr>
          <w:spacing w:val="-3"/>
        </w:rPr>
        <w:t>and Leisure </w:t>
      </w:r>
      <w:r>
        <w:rPr>
          <w:spacing w:val="-4"/>
        </w:rPr>
        <w:t>Limited amounts </w:t>
      </w:r>
      <w:r>
        <w:rPr/>
        <w:t>to </w:t>
      </w:r>
      <w:r>
        <w:rPr>
          <w:spacing w:val="-4"/>
        </w:rPr>
        <w:t>€191k while </w:t>
      </w:r>
      <w:r>
        <w:rPr/>
        <w:t>the </w:t>
      </w:r>
      <w:r>
        <w:rPr>
          <w:spacing w:val="-4"/>
        </w:rPr>
        <w:t>amount provided </w:t>
      </w:r>
      <w:r>
        <w:rPr>
          <w:spacing w:val="-3"/>
        </w:rPr>
        <w:t>for </w:t>
      </w:r>
      <w:r>
        <w:rPr>
          <w:spacing w:val="-4"/>
        </w:rPr>
        <w:t>Glassell Limited </w:t>
      </w:r>
      <w:r>
        <w:rPr>
          <w:spacing w:val="-3"/>
        </w:rPr>
        <w:t>is </w:t>
      </w:r>
      <w:r>
        <w:rPr>
          <w:spacing w:val="-4"/>
        </w:rPr>
        <w:t>€80k. </w:t>
      </w:r>
      <w:r>
        <w:rPr>
          <w:spacing w:val="-3"/>
        </w:rPr>
        <w:t>Both </w:t>
      </w:r>
      <w:r>
        <w:rPr>
          <w:spacing w:val="-4"/>
        </w:rPr>
        <w:t>companies continue </w:t>
      </w:r>
      <w:r>
        <w:rPr/>
        <w:t>to </w:t>
      </w:r>
      <w:r>
        <w:rPr>
          <w:spacing w:val="-4"/>
        </w:rPr>
        <w:t>maximise income </w:t>
      </w:r>
      <w:r>
        <w:rPr>
          <w:spacing w:val="-3"/>
        </w:rPr>
        <w:t>and </w:t>
      </w:r>
      <w:r>
        <w:rPr>
          <w:spacing w:val="-4"/>
        </w:rPr>
        <w:t>manage </w:t>
      </w:r>
      <w:r>
        <w:rPr>
          <w:spacing w:val="-3"/>
        </w:rPr>
        <w:t>their cost </w:t>
      </w:r>
      <w:r>
        <w:rPr>
          <w:spacing w:val="-4"/>
        </w:rPr>
        <w:t>base.</w:t>
      </w:r>
    </w:p>
    <w:p>
      <w:pPr>
        <w:pStyle w:val="BodyText"/>
        <w:spacing w:before="1"/>
      </w:pPr>
    </w:p>
    <w:p>
      <w:pPr>
        <w:pStyle w:val="Heading2"/>
        <w:numPr>
          <w:ilvl w:val="0"/>
          <w:numId w:val="3"/>
        </w:numPr>
        <w:tabs>
          <w:tab w:pos="837" w:val="left" w:leader="none"/>
          <w:tab w:pos="838" w:val="left" w:leader="none"/>
        </w:tabs>
        <w:spacing w:line="240" w:lineRule="auto" w:before="0" w:after="0"/>
        <w:ind w:left="838" w:right="0" w:hanging="720"/>
        <w:jc w:val="left"/>
      </w:pPr>
      <w:r>
        <w:rPr>
          <w:spacing w:val="-4"/>
        </w:rPr>
        <w:t>Corporate</w:t>
      </w:r>
      <w:r>
        <w:rPr>
          <w:spacing w:val="12"/>
        </w:rPr>
        <w:t> </w:t>
      </w:r>
      <w:r>
        <w:rPr>
          <w:spacing w:val="-4"/>
        </w:rPr>
        <w:t>Governance</w:t>
      </w:r>
    </w:p>
    <w:p>
      <w:pPr>
        <w:pStyle w:val="BodyText"/>
        <w:spacing w:before="10"/>
        <w:rPr>
          <w:b/>
          <w:sz w:val="21"/>
        </w:rPr>
      </w:pPr>
    </w:p>
    <w:p>
      <w:pPr>
        <w:pStyle w:val="BodyText"/>
        <w:ind w:left="838" w:right="149"/>
      </w:pPr>
      <w:r>
        <w:rPr>
          <w:spacing w:val="-4"/>
        </w:rPr>
        <w:t>Corporate governance comprises </w:t>
      </w:r>
      <w:r>
        <w:rPr>
          <w:spacing w:val="-3"/>
        </w:rPr>
        <w:t>the </w:t>
      </w:r>
      <w:r>
        <w:rPr>
          <w:spacing w:val="-4"/>
        </w:rPr>
        <w:t>systems </w:t>
      </w:r>
      <w:r>
        <w:rPr>
          <w:spacing w:val="-3"/>
        </w:rPr>
        <w:t>and </w:t>
      </w:r>
      <w:r>
        <w:rPr>
          <w:spacing w:val="-4"/>
        </w:rPr>
        <w:t>procedures </w:t>
      </w:r>
      <w:r>
        <w:rPr/>
        <w:t>by </w:t>
      </w:r>
      <w:r>
        <w:rPr>
          <w:spacing w:val="-4"/>
        </w:rPr>
        <w:t>which enterprises </w:t>
      </w:r>
      <w:r>
        <w:rPr>
          <w:spacing w:val="-3"/>
        </w:rPr>
        <w:t>are </w:t>
      </w:r>
      <w:r>
        <w:rPr>
          <w:spacing w:val="-4"/>
        </w:rPr>
        <w:t>directed </w:t>
      </w:r>
      <w:r>
        <w:rPr/>
        <w:t>and </w:t>
      </w:r>
      <w:r>
        <w:rPr>
          <w:spacing w:val="-4"/>
        </w:rPr>
        <w:t>controlled. </w:t>
      </w:r>
      <w:r>
        <w:rPr>
          <w:spacing w:val="-3"/>
        </w:rPr>
        <w:t>It is the </w:t>
      </w:r>
      <w:r>
        <w:rPr>
          <w:spacing w:val="-4"/>
        </w:rPr>
        <w:t>responsibility </w:t>
      </w:r>
      <w:r>
        <w:rPr/>
        <w:t>of </w:t>
      </w:r>
      <w:r>
        <w:rPr>
          <w:spacing w:val="-4"/>
        </w:rPr>
        <w:t>management </w:t>
      </w:r>
      <w:r>
        <w:rPr/>
        <w:t>to </w:t>
      </w:r>
      <w:r>
        <w:rPr>
          <w:spacing w:val="-4"/>
        </w:rPr>
        <w:t>ensure </w:t>
      </w:r>
      <w:r>
        <w:rPr>
          <w:spacing w:val="-3"/>
        </w:rPr>
        <w:t>that such </w:t>
      </w:r>
      <w:r>
        <w:rPr>
          <w:spacing w:val="-4"/>
        </w:rPr>
        <w:t>systems </w:t>
      </w:r>
      <w:r>
        <w:rPr>
          <w:spacing w:val="-3"/>
        </w:rPr>
        <w:t>and </w:t>
      </w:r>
      <w:r>
        <w:rPr>
          <w:spacing w:val="-4"/>
        </w:rPr>
        <w:t>procedures </w:t>
      </w:r>
      <w:r>
        <w:rPr>
          <w:spacing w:val="-3"/>
        </w:rPr>
        <w:t>exist and are </w:t>
      </w:r>
      <w:r>
        <w:rPr>
          <w:spacing w:val="-4"/>
        </w:rPr>
        <w:t>robust.</w:t>
      </w:r>
    </w:p>
    <w:p>
      <w:pPr>
        <w:pStyle w:val="BodyText"/>
        <w:spacing w:before="2"/>
      </w:pPr>
    </w:p>
    <w:p>
      <w:pPr>
        <w:pStyle w:val="Heading2"/>
        <w:numPr>
          <w:ilvl w:val="1"/>
          <w:numId w:val="3"/>
        </w:numPr>
        <w:tabs>
          <w:tab w:pos="837" w:val="left" w:leader="none"/>
          <w:tab w:pos="838" w:val="left" w:leader="none"/>
        </w:tabs>
        <w:spacing w:line="240" w:lineRule="auto" w:before="0" w:after="0"/>
        <w:ind w:left="838" w:right="0" w:hanging="720"/>
        <w:jc w:val="left"/>
      </w:pPr>
      <w:r>
        <w:rPr>
          <w:spacing w:val="-3"/>
        </w:rPr>
        <w:t>Internal </w:t>
      </w:r>
      <w:r>
        <w:rPr>
          <w:spacing w:val="-4"/>
        </w:rPr>
        <w:t>Audit</w:t>
      </w:r>
      <w:r>
        <w:rPr>
          <w:spacing w:val="5"/>
        </w:rPr>
        <w:t> </w:t>
      </w:r>
      <w:r>
        <w:rPr>
          <w:spacing w:val="-4"/>
        </w:rPr>
        <w:t>Function</w:t>
      </w:r>
    </w:p>
    <w:p>
      <w:pPr>
        <w:pStyle w:val="BodyText"/>
        <w:spacing w:before="10"/>
        <w:rPr>
          <w:b/>
          <w:sz w:val="21"/>
        </w:rPr>
      </w:pPr>
    </w:p>
    <w:p>
      <w:pPr>
        <w:pStyle w:val="BodyText"/>
        <w:ind w:left="838"/>
      </w:pPr>
      <w:r>
        <w:rPr/>
        <w:t>The </w:t>
      </w:r>
      <w:r>
        <w:rPr>
          <w:spacing w:val="-4"/>
        </w:rPr>
        <w:t>quality </w:t>
      </w:r>
      <w:r>
        <w:rPr/>
        <w:t>of </w:t>
      </w:r>
      <w:r>
        <w:rPr>
          <w:spacing w:val="-4"/>
        </w:rPr>
        <w:t>output </w:t>
      </w:r>
      <w:r>
        <w:rPr/>
        <w:t>of </w:t>
      </w:r>
      <w:r>
        <w:rPr>
          <w:spacing w:val="-3"/>
        </w:rPr>
        <w:t>the </w:t>
      </w:r>
      <w:r>
        <w:rPr>
          <w:spacing w:val="-4"/>
        </w:rPr>
        <w:t>internal </w:t>
      </w:r>
      <w:r>
        <w:rPr>
          <w:spacing w:val="-3"/>
        </w:rPr>
        <w:t>audit unit </w:t>
      </w:r>
      <w:r>
        <w:rPr>
          <w:spacing w:val="-4"/>
        </w:rPr>
        <w:t>continues </w:t>
      </w:r>
      <w:r>
        <w:rPr/>
        <w:t>to be of a </w:t>
      </w:r>
      <w:r>
        <w:rPr>
          <w:spacing w:val="-3"/>
        </w:rPr>
        <w:t>high </w:t>
      </w:r>
      <w:r>
        <w:rPr>
          <w:spacing w:val="-4"/>
        </w:rPr>
        <w:t>standard. </w:t>
      </w:r>
      <w:r>
        <w:rPr>
          <w:spacing w:val="-3"/>
        </w:rPr>
        <w:t>It </w:t>
      </w:r>
      <w:r>
        <w:rPr/>
        <w:t>is </w:t>
      </w:r>
      <w:r>
        <w:rPr>
          <w:spacing w:val="-4"/>
        </w:rPr>
        <w:t>considered however, </w:t>
      </w:r>
      <w:r>
        <w:rPr>
          <w:spacing w:val="-3"/>
        </w:rPr>
        <w:t>that </w:t>
      </w:r>
      <w:r>
        <w:rPr>
          <w:spacing w:val="-4"/>
        </w:rPr>
        <w:t>insufficient resources </w:t>
      </w:r>
      <w:r>
        <w:rPr/>
        <w:t>are </w:t>
      </w:r>
      <w:r>
        <w:rPr>
          <w:spacing w:val="-3"/>
        </w:rPr>
        <w:t>being </w:t>
      </w:r>
      <w:r>
        <w:rPr>
          <w:spacing w:val="-4"/>
        </w:rPr>
        <w:t>committed </w:t>
      </w:r>
      <w:r>
        <w:rPr>
          <w:spacing w:val="-3"/>
        </w:rPr>
        <w:t>to </w:t>
      </w:r>
      <w:r>
        <w:rPr>
          <w:spacing w:val="-4"/>
        </w:rPr>
        <w:t>this function. </w:t>
      </w:r>
      <w:r>
        <w:rPr>
          <w:spacing w:val="-3"/>
        </w:rPr>
        <w:t>The </w:t>
      </w:r>
      <w:r>
        <w:rPr>
          <w:spacing w:val="-4"/>
        </w:rPr>
        <w:t>Council </w:t>
      </w:r>
      <w:r>
        <w:rPr>
          <w:spacing w:val="-3"/>
        </w:rPr>
        <w:t>should give </w:t>
      </w:r>
      <w:r>
        <w:rPr>
          <w:spacing w:val="-4"/>
        </w:rPr>
        <w:t>consideration </w:t>
      </w:r>
      <w:r>
        <w:rPr/>
        <w:t>to </w:t>
      </w:r>
      <w:r>
        <w:rPr>
          <w:spacing w:val="-4"/>
        </w:rPr>
        <w:t>increasing resources </w:t>
      </w:r>
      <w:r>
        <w:rPr>
          <w:spacing w:val="-3"/>
        </w:rPr>
        <w:t>to </w:t>
      </w:r>
      <w:r>
        <w:rPr>
          <w:spacing w:val="-4"/>
        </w:rPr>
        <w:t>this </w:t>
      </w:r>
      <w:r>
        <w:rPr>
          <w:spacing w:val="-3"/>
        </w:rPr>
        <w:t>unit </w:t>
      </w:r>
      <w:r>
        <w:rPr/>
        <w:t>in </w:t>
      </w:r>
      <w:r>
        <w:rPr>
          <w:spacing w:val="-3"/>
        </w:rPr>
        <w:t>line with </w:t>
      </w:r>
      <w:r>
        <w:rPr>
          <w:spacing w:val="-4"/>
        </w:rPr>
        <w:t>good corporate governance.</w:t>
      </w:r>
    </w:p>
    <w:p>
      <w:pPr>
        <w:pStyle w:val="BodyText"/>
        <w:spacing w:before="10"/>
        <w:rPr>
          <w:sz w:val="21"/>
        </w:rPr>
      </w:pPr>
    </w:p>
    <w:p>
      <w:pPr>
        <w:pStyle w:val="BodyText"/>
        <w:ind w:left="838" w:right="74"/>
      </w:pPr>
      <w:r>
        <w:rPr/>
        <w:t>The </w:t>
      </w:r>
      <w:r>
        <w:rPr>
          <w:spacing w:val="-4"/>
        </w:rPr>
        <w:t>internal auditor reports </w:t>
      </w:r>
      <w:r>
        <w:rPr>
          <w:spacing w:val="-3"/>
        </w:rPr>
        <w:t>directly </w:t>
      </w:r>
      <w:r>
        <w:rPr/>
        <w:t>to </w:t>
      </w:r>
      <w:r>
        <w:rPr>
          <w:spacing w:val="-3"/>
        </w:rPr>
        <w:t>the </w:t>
      </w:r>
      <w:r>
        <w:rPr>
          <w:spacing w:val="-4"/>
        </w:rPr>
        <w:t>Chief Executive </w:t>
      </w:r>
      <w:r>
        <w:rPr>
          <w:spacing w:val="-3"/>
        </w:rPr>
        <w:t>and the audit </w:t>
      </w:r>
      <w:r>
        <w:rPr>
          <w:spacing w:val="-4"/>
        </w:rPr>
        <w:t>committee. </w:t>
      </w:r>
      <w:r>
        <w:rPr>
          <w:spacing w:val="-3"/>
        </w:rPr>
        <w:t>The unit </w:t>
      </w:r>
      <w:r>
        <w:rPr>
          <w:spacing w:val="-4"/>
        </w:rPr>
        <w:t>produced </w:t>
      </w:r>
      <w:r>
        <w:rPr>
          <w:spacing w:val="-3"/>
        </w:rPr>
        <w:t>seven </w:t>
      </w:r>
      <w:r>
        <w:rPr>
          <w:spacing w:val="-4"/>
        </w:rPr>
        <w:t>reports during </w:t>
      </w:r>
      <w:r>
        <w:rPr>
          <w:spacing w:val="-3"/>
        </w:rPr>
        <w:t>the year </w:t>
      </w:r>
      <w:r>
        <w:rPr/>
        <w:t>in </w:t>
      </w:r>
      <w:r>
        <w:rPr>
          <w:spacing w:val="-4"/>
        </w:rPr>
        <w:t>addition </w:t>
      </w:r>
      <w:r>
        <w:rPr/>
        <w:t>to a </w:t>
      </w:r>
      <w:r>
        <w:rPr>
          <w:spacing w:val="-4"/>
        </w:rPr>
        <w:t>number </w:t>
      </w:r>
      <w:r>
        <w:rPr/>
        <w:t>of </w:t>
      </w:r>
      <w:r>
        <w:rPr>
          <w:spacing w:val="-4"/>
        </w:rPr>
        <w:t>inspection reports </w:t>
      </w:r>
      <w:r>
        <w:rPr>
          <w:spacing w:val="-3"/>
        </w:rPr>
        <w:t>with </w:t>
      </w:r>
      <w:r>
        <w:rPr>
          <w:spacing w:val="-4"/>
        </w:rPr>
        <w:t>regard </w:t>
      </w:r>
      <w:r>
        <w:rPr>
          <w:spacing w:val="-3"/>
        </w:rPr>
        <w:t>to internal </w:t>
      </w:r>
      <w:r>
        <w:rPr>
          <w:spacing w:val="-4"/>
        </w:rPr>
        <w:t>control procedures.</w:t>
      </w:r>
    </w:p>
    <w:p>
      <w:pPr>
        <w:pStyle w:val="BodyText"/>
        <w:spacing w:before="10"/>
        <w:rPr>
          <w:sz w:val="21"/>
        </w:rPr>
      </w:pPr>
    </w:p>
    <w:p>
      <w:pPr>
        <w:pStyle w:val="BodyText"/>
        <w:ind w:left="838"/>
      </w:pPr>
      <w:r>
        <w:rPr/>
        <w:t>I have taken account of the work of the internal auditor in carrying out my audit.</w:t>
      </w:r>
    </w:p>
    <w:p>
      <w:pPr>
        <w:spacing w:after="0"/>
        <w:sectPr>
          <w:footerReference w:type="default" r:id="rId8"/>
          <w:pgSz w:w="11910" w:h="16840"/>
          <w:pgMar w:footer="447" w:header="0" w:top="1320" w:bottom="640" w:left="1680" w:right="1680"/>
        </w:sectPr>
      </w:pPr>
    </w:p>
    <w:p>
      <w:pPr>
        <w:pStyle w:val="Heading2"/>
        <w:spacing w:before="78"/>
        <w:ind w:firstLine="0"/>
      </w:pPr>
      <w:r>
        <w:rPr/>
        <w:t>Chief Executive’s Response</w:t>
      </w:r>
    </w:p>
    <w:p>
      <w:pPr>
        <w:pStyle w:val="BodyText"/>
        <w:spacing w:before="10"/>
        <w:rPr>
          <w:b/>
          <w:sz w:val="21"/>
        </w:rPr>
      </w:pPr>
    </w:p>
    <w:p>
      <w:pPr>
        <w:pStyle w:val="BodyText"/>
        <w:ind w:left="838" w:right="107"/>
      </w:pPr>
      <w:r>
        <w:rPr/>
        <w:t>I </w:t>
      </w:r>
      <w:r>
        <w:rPr>
          <w:spacing w:val="-4"/>
        </w:rPr>
        <w:t>agree that </w:t>
      </w:r>
      <w:r>
        <w:rPr>
          <w:spacing w:val="-3"/>
        </w:rPr>
        <w:t>work </w:t>
      </w:r>
      <w:r>
        <w:rPr/>
        <w:t>of </w:t>
      </w:r>
      <w:r>
        <w:rPr>
          <w:spacing w:val="-4"/>
        </w:rPr>
        <w:t>internal </w:t>
      </w:r>
      <w:r>
        <w:rPr>
          <w:spacing w:val="-3"/>
        </w:rPr>
        <w:t>audit </w:t>
      </w:r>
      <w:r>
        <w:rPr/>
        <w:t>is </w:t>
      </w:r>
      <w:r>
        <w:rPr>
          <w:spacing w:val="-4"/>
        </w:rPr>
        <w:t>carried </w:t>
      </w:r>
      <w:r>
        <w:rPr/>
        <w:t>out to a </w:t>
      </w:r>
      <w:r>
        <w:rPr>
          <w:spacing w:val="-3"/>
        </w:rPr>
        <w:t>high </w:t>
      </w:r>
      <w:r>
        <w:rPr>
          <w:spacing w:val="-4"/>
        </w:rPr>
        <w:t>standard </w:t>
      </w:r>
      <w:r>
        <w:rPr>
          <w:spacing w:val="-3"/>
        </w:rPr>
        <w:t>and </w:t>
      </w:r>
      <w:r>
        <w:rPr>
          <w:spacing w:val="-4"/>
        </w:rPr>
        <w:t>represents </w:t>
      </w:r>
      <w:r>
        <w:rPr/>
        <w:t>a </w:t>
      </w:r>
      <w:r>
        <w:rPr>
          <w:spacing w:val="-3"/>
        </w:rPr>
        <w:t>key </w:t>
      </w:r>
      <w:r>
        <w:rPr>
          <w:spacing w:val="-4"/>
        </w:rPr>
        <w:t>component </w:t>
      </w:r>
      <w:r>
        <w:rPr/>
        <w:t>of </w:t>
      </w:r>
      <w:r>
        <w:rPr>
          <w:spacing w:val="-3"/>
        </w:rPr>
        <w:t>good </w:t>
      </w:r>
      <w:r>
        <w:rPr>
          <w:spacing w:val="-4"/>
        </w:rPr>
        <w:t>corporate governance framework </w:t>
      </w:r>
      <w:r>
        <w:rPr/>
        <w:t>of </w:t>
      </w:r>
      <w:r>
        <w:rPr>
          <w:spacing w:val="-4"/>
        </w:rPr>
        <w:t>this Council. </w:t>
      </w:r>
      <w:r>
        <w:rPr>
          <w:spacing w:val="-3"/>
        </w:rPr>
        <w:t>The </w:t>
      </w:r>
      <w:r>
        <w:rPr>
          <w:spacing w:val="-4"/>
        </w:rPr>
        <w:t>Council will examine </w:t>
      </w:r>
      <w:r>
        <w:rPr>
          <w:spacing w:val="-3"/>
        </w:rPr>
        <w:t>the </w:t>
      </w:r>
      <w:r>
        <w:rPr>
          <w:spacing w:val="-4"/>
        </w:rPr>
        <w:t>level </w:t>
      </w:r>
      <w:r>
        <w:rPr>
          <w:spacing w:val="-3"/>
        </w:rPr>
        <w:t>of </w:t>
      </w:r>
      <w:r>
        <w:rPr>
          <w:spacing w:val="-4"/>
        </w:rPr>
        <w:t>resources </w:t>
      </w:r>
      <w:r>
        <w:rPr>
          <w:spacing w:val="-3"/>
        </w:rPr>
        <w:t>in </w:t>
      </w:r>
      <w:r>
        <w:rPr>
          <w:spacing w:val="-4"/>
        </w:rPr>
        <w:t>Internal </w:t>
      </w:r>
      <w:r>
        <w:rPr>
          <w:spacing w:val="-3"/>
        </w:rPr>
        <w:t>Audit </w:t>
      </w:r>
      <w:r>
        <w:rPr>
          <w:spacing w:val="-4"/>
        </w:rPr>
        <w:t>based </w:t>
      </w:r>
      <w:r>
        <w:rPr>
          <w:spacing w:val="-3"/>
        </w:rPr>
        <w:t>on </w:t>
      </w:r>
      <w:r>
        <w:rPr>
          <w:spacing w:val="-4"/>
        </w:rPr>
        <w:t>current </w:t>
      </w:r>
      <w:r>
        <w:rPr>
          <w:spacing w:val="-3"/>
        </w:rPr>
        <w:t>staff </w:t>
      </w:r>
      <w:r>
        <w:rPr>
          <w:spacing w:val="-4"/>
        </w:rPr>
        <w:t>compliment </w:t>
      </w:r>
      <w:r>
        <w:rPr>
          <w:spacing w:val="-3"/>
        </w:rPr>
        <w:t>and </w:t>
      </w:r>
      <w:r>
        <w:rPr/>
        <w:t>an </w:t>
      </w:r>
      <w:r>
        <w:rPr>
          <w:spacing w:val="-4"/>
        </w:rPr>
        <w:t>analysis </w:t>
      </w:r>
      <w:r>
        <w:rPr/>
        <w:t>of </w:t>
      </w:r>
      <w:r>
        <w:rPr>
          <w:spacing w:val="-3"/>
        </w:rPr>
        <w:t>level </w:t>
      </w:r>
      <w:r>
        <w:rPr/>
        <w:t>of </w:t>
      </w:r>
      <w:r>
        <w:rPr>
          <w:spacing w:val="-4"/>
        </w:rPr>
        <w:t>resources </w:t>
      </w:r>
      <w:r>
        <w:rPr>
          <w:spacing w:val="-3"/>
        </w:rPr>
        <w:t>applied </w:t>
      </w:r>
      <w:r>
        <w:rPr/>
        <w:t>to </w:t>
      </w:r>
      <w:r>
        <w:rPr>
          <w:spacing w:val="-4"/>
        </w:rPr>
        <w:t>Internal Audit </w:t>
      </w:r>
      <w:r>
        <w:rPr>
          <w:spacing w:val="-3"/>
        </w:rPr>
        <w:t>in </w:t>
      </w:r>
      <w:r>
        <w:rPr>
          <w:spacing w:val="-4"/>
        </w:rPr>
        <w:t>similar </w:t>
      </w:r>
      <w:r>
        <w:rPr>
          <w:spacing w:val="-3"/>
        </w:rPr>
        <w:t>sized local </w:t>
      </w:r>
      <w:r>
        <w:rPr>
          <w:spacing w:val="-4"/>
        </w:rPr>
        <w:t>authorities.</w:t>
      </w:r>
    </w:p>
    <w:p>
      <w:pPr>
        <w:pStyle w:val="BodyText"/>
        <w:spacing w:before="10"/>
        <w:rPr>
          <w:sz w:val="21"/>
        </w:rPr>
      </w:pPr>
    </w:p>
    <w:p>
      <w:pPr>
        <w:pStyle w:val="Heading2"/>
        <w:numPr>
          <w:ilvl w:val="1"/>
          <w:numId w:val="3"/>
        </w:numPr>
        <w:tabs>
          <w:tab w:pos="837" w:val="left" w:leader="none"/>
          <w:tab w:pos="838" w:val="left" w:leader="none"/>
        </w:tabs>
        <w:spacing w:line="240" w:lineRule="auto" w:before="0" w:after="0"/>
        <w:ind w:left="838" w:right="0" w:hanging="720"/>
        <w:jc w:val="left"/>
      </w:pPr>
      <w:r>
        <w:rPr>
          <w:spacing w:val="-3"/>
        </w:rPr>
        <w:t>Risk</w:t>
      </w:r>
      <w:r>
        <w:rPr>
          <w:spacing w:val="2"/>
        </w:rPr>
        <w:t> </w:t>
      </w:r>
      <w:r>
        <w:rPr>
          <w:spacing w:val="-4"/>
        </w:rPr>
        <w:t>Registers</w:t>
      </w:r>
    </w:p>
    <w:p>
      <w:pPr>
        <w:pStyle w:val="BodyText"/>
        <w:spacing w:before="10"/>
        <w:rPr>
          <w:b/>
          <w:sz w:val="21"/>
        </w:rPr>
      </w:pPr>
    </w:p>
    <w:p>
      <w:pPr>
        <w:pStyle w:val="BodyText"/>
        <w:ind w:left="838"/>
      </w:pPr>
      <w:r>
        <w:rPr/>
        <w:t>The </w:t>
      </w:r>
      <w:r>
        <w:rPr>
          <w:spacing w:val="-4"/>
        </w:rPr>
        <w:t>risk register </w:t>
      </w:r>
      <w:r>
        <w:rPr>
          <w:spacing w:val="-3"/>
        </w:rPr>
        <w:t>in </w:t>
      </w:r>
      <w:r>
        <w:rPr>
          <w:spacing w:val="-4"/>
        </w:rPr>
        <w:t>respect </w:t>
      </w:r>
      <w:r>
        <w:rPr/>
        <w:t>of </w:t>
      </w:r>
      <w:r>
        <w:rPr>
          <w:spacing w:val="-4"/>
        </w:rPr>
        <w:t>corporate services </w:t>
      </w:r>
      <w:r>
        <w:rPr/>
        <w:t>/ </w:t>
      </w:r>
      <w:r>
        <w:rPr>
          <w:spacing w:val="-4"/>
        </w:rPr>
        <w:t>human resources </w:t>
      </w:r>
      <w:r>
        <w:rPr>
          <w:spacing w:val="-3"/>
        </w:rPr>
        <w:t>was </w:t>
      </w:r>
      <w:r>
        <w:rPr/>
        <w:t>not </w:t>
      </w:r>
      <w:r>
        <w:rPr>
          <w:spacing w:val="-4"/>
        </w:rPr>
        <w:t>prepared </w:t>
      </w:r>
      <w:r>
        <w:rPr/>
        <w:t>in </w:t>
      </w:r>
      <w:r>
        <w:rPr>
          <w:spacing w:val="-3"/>
        </w:rPr>
        <w:t>respect of </w:t>
      </w:r>
      <w:r>
        <w:rPr/>
        <w:t>the </w:t>
      </w:r>
      <w:r>
        <w:rPr>
          <w:spacing w:val="-3"/>
        </w:rPr>
        <w:t>year </w:t>
      </w:r>
      <w:r>
        <w:rPr>
          <w:spacing w:val="-4"/>
        </w:rPr>
        <w:t>2016. There </w:t>
      </w:r>
      <w:r>
        <w:rPr>
          <w:spacing w:val="-3"/>
        </w:rPr>
        <w:t>is no </w:t>
      </w:r>
      <w:r>
        <w:rPr>
          <w:spacing w:val="-4"/>
        </w:rPr>
        <w:t>overall corporate risk register combining </w:t>
      </w:r>
      <w:r>
        <w:rPr>
          <w:spacing w:val="-3"/>
        </w:rPr>
        <w:t>all </w:t>
      </w:r>
      <w:r>
        <w:rPr/>
        <w:t>of the </w:t>
      </w:r>
      <w:r>
        <w:rPr>
          <w:spacing w:val="-4"/>
        </w:rPr>
        <w:t>risk registers </w:t>
      </w:r>
      <w:r>
        <w:rPr/>
        <w:t>of </w:t>
      </w:r>
      <w:r>
        <w:rPr>
          <w:spacing w:val="-3"/>
        </w:rPr>
        <w:t>the various </w:t>
      </w:r>
      <w:r>
        <w:rPr>
          <w:spacing w:val="-4"/>
        </w:rPr>
        <w:t>directorates </w:t>
      </w:r>
      <w:r>
        <w:rPr/>
        <w:t>of </w:t>
      </w:r>
      <w:r>
        <w:rPr>
          <w:spacing w:val="-3"/>
        </w:rPr>
        <w:t>the </w:t>
      </w:r>
      <w:r>
        <w:rPr>
          <w:spacing w:val="-4"/>
        </w:rPr>
        <w:t>Council.</w:t>
      </w:r>
    </w:p>
    <w:p>
      <w:pPr>
        <w:pStyle w:val="BodyText"/>
        <w:spacing w:before="11"/>
        <w:rPr>
          <w:sz w:val="21"/>
        </w:rPr>
      </w:pPr>
    </w:p>
    <w:p>
      <w:pPr>
        <w:pStyle w:val="Heading2"/>
        <w:ind w:firstLine="0"/>
      </w:pPr>
      <w:r>
        <w:rPr/>
        <w:t>Chief Executive’s Response</w:t>
      </w:r>
    </w:p>
    <w:p>
      <w:pPr>
        <w:pStyle w:val="BodyText"/>
        <w:spacing w:before="1"/>
        <w:rPr>
          <w:b/>
        </w:rPr>
      </w:pPr>
    </w:p>
    <w:p>
      <w:pPr>
        <w:pStyle w:val="BodyText"/>
        <w:ind w:left="838" w:right="209"/>
      </w:pPr>
      <w:r>
        <w:rPr>
          <w:spacing w:val="-3"/>
        </w:rPr>
        <w:t>Risk </w:t>
      </w:r>
      <w:r>
        <w:rPr>
          <w:spacing w:val="-4"/>
        </w:rPr>
        <w:t>registers </w:t>
      </w:r>
      <w:r>
        <w:rPr>
          <w:spacing w:val="-3"/>
        </w:rPr>
        <w:t>have </w:t>
      </w:r>
      <w:r>
        <w:rPr>
          <w:spacing w:val="-4"/>
        </w:rPr>
        <w:t>been prepared </w:t>
      </w:r>
      <w:r>
        <w:rPr/>
        <w:t>for </w:t>
      </w:r>
      <w:r>
        <w:rPr>
          <w:spacing w:val="-3"/>
        </w:rPr>
        <w:t>all </w:t>
      </w:r>
      <w:r>
        <w:rPr>
          <w:spacing w:val="-4"/>
        </w:rPr>
        <w:t>departments </w:t>
      </w:r>
      <w:r>
        <w:rPr>
          <w:spacing w:val="-3"/>
        </w:rPr>
        <w:t>in 2017 </w:t>
      </w:r>
      <w:r>
        <w:rPr/>
        <w:t>and a </w:t>
      </w:r>
      <w:r>
        <w:rPr>
          <w:spacing w:val="-4"/>
        </w:rPr>
        <w:t>corporate risk register </w:t>
      </w:r>
      <w:r>
        <w:rPr>
          <w:spacing w:val="-3"/>
        </w:rPr>
        <w:t>will also </w:t>
      </w:r>
      <w:r>
        <w:rPr/>
        <w:t>be </w:t>
      </w:r>
      <w:r>
        <w:rPr>
          <w:spacing w:val="-4"/>
        </w:rPr>
        <w:t>completed </w:t>
      </w:r>
      <w:r>
        <w:rPr/>
        <w:t>in </w:t>
      </w:r>
      <w:r>
        <w:rPr>
          <w:spacing w:val="-4"/>
        </w:rPr>
        <w:t>2017.</w:t>
      </w:r>
    </w:p>
    <w:p>
      <w:pPr>
        <w:pStyle w:val="BodyText"/>
        <w:spacing w:before="10"/>
        <w:rPr>
          <w:sz w:val="21"/>
        </w:rPr>
      </w:pPr>
    </w:p>
    <w:p>
      <w:pPr>
        <w:pStyle w:val="Heading2"/>
        <w:numPr>
          <w:ilvl w:val="0"/>
          <w:numId w:val="3"/>
        </w:numPr>
        <w:tabs>
          <w:tab w:pos="837" w:val="left" w:leader="none"/>
          <w:tab w:pos="838" w:val="left" w:leader="none"/>
        </w:tabs>
        <w:spacing w:line="240" w:lineRule="auto" w:before="0" w:after="0"/>
        <w:ind w:left="838" w:right="0" w:hanging="720"/>
        <w:jc w:val="left"/>
      </w:pPr>
      <w:r>
        <w:rPr>
          <w:spacing w:val="-4"/>
        </w:rPr>
        <w:t>Investigation Regarding Payments </w:t>
      </w:r>
      <w:r>
        <w:rPr>
          <w:spacing w:val="-3"/>
        </w:rPr>
        <w:t>Made </w:t>
      </w:r>
      <w:r>
        <w:rPr/>
        <w:t>by the </w:t>
      </w:r>
      <w:r>
        <w:rPr>
          <w:spacing w:val="-4"/>
        </w:rPr>
        <w:t>Council </w:t>
      </w:r>
      <w:r>
        <w:rPr>
          <w:spacing w:val="-3"/>
        </w:rPr>
        <w:t>to </w:t>
      </w:r>
      <w:r>
        <w:rPr/>
        <w:t>a</w:t>
      </w:r>
      <w:r>
        <w:rPr>
          <w:spacing w:val="1"/>
        </w:rPr>
        <w:t> </w:t>
      </w:r>
      <w:r>
        <w:rPr>
          <w:spacing w:val="-4"/>
        </w:rPr>
        <w:t>Contractor</w:t>
      </w:r>
    </w:p>
    <w:p>
      <w:pPr>
        <w:pStyle w:val="BodyText"/>
        <w:spacing w:before="1"/>
        <w:rPr>
          <w:b/>
        </w:rPr>
      </w:pPr>
    </w:p>
    <w:p>
      <w:pPr>
        <w:pStyle w:val="BodyText"/>
        <w:ind w:left="838"/>
      </w:pPr>
      <w:r>
        <w:rPr/>
        <w:t>At </w:t>
      </w:r>
      <w:r>
        <w:rPr>
          <w:spacing w:val="-3"/>
        </w:rPr>
        <w:t>the time </w:t>
      </w:r>
      <w:r>
        <w:rPr/>
        <w:t>of </w:t>
      </w:r>
      <w:r>
        <w:rPr>
          <w:spacing w:val="-4"/>
        </w:rPr>
        <w:t>concluding </w:t>
      </w:r>
      <w:r>
        <w:rPr>
          <w:spacing w:val="-3"/>
        </w:rPr>
        <w:t>this </w:t>
      </w:r>
      <w:r>
        <w:rPr>
          <w:spacing w:val="-4"/>
        </w:rPr>
        <w:t>audit there </w:t>
      </w:r>
      <w:r>
        <w:rPr>
          <w:spacing w:val="-3"/>
        </w:rPr>
        <w:t>was an </w:t>
      </w:r>
      <w:r>
        <w:rPr>
          <w:spacing w:val="-4"/>
        </w:rPr>
        <w:t>ongoing investigation into payments </w:t>
      </w:r>
      <w:r>
        <w:rPr>
          <w:spacing w:val="-3"/>
        </w:rPr>
        <w:t>made by </w:t>
      </w:r>
      <w:r>
        <w:rPr/>
        <w:t>the </w:t>
      </w:r>
      <w:r>
        <w:rPr>
          <w:spacing w:val="-4"/>
        </w:rPr>
        <w:t>Council </w:t>
      </w:r>
      <w:r>
        <w:rPr/>
        <w:t>to a </w:t>
      </w:r>
      <w:r>
        <w:rPr>
          <w:spacing w:val="-4"/>
        </w:rPr>
        <w:t>contractor. </w:t>
      </w:r>
      <w:r>
        <w:rPr>
          <w:spacing w:val="-3"/>
        </w:rPr>
        <w:t>This </w:t>
      </w:r>
      <w:r>
        <w:rPr>
          <w:spacing w:val="-4"/>
        </w:rPr>
        <w:t>matter </w:t>
      </w:r>
      <w:r>
        <w:rPr>
          <w:spacing w:val="-3"/>
        </w:rPr>
        <w:t>will be </w:t>
      </w:r>
      <w:r>
        <w:rPr>
          <w:spacing w:val="-4"/>
        </w:rPr>
        <w:t>reviewed </w:t>
      </w:r>
      <w:r>
        <w:rPr/>
        <w:t>at </w:t>
      </w:r>
      <w:r>
        <w:rPr>
          <w:spacing w:val="-3"/>
        </w:rPr>
        <w:t>the next audit.</w:t>
      </w:r>
    </w:p>
    <w:p>
      <w:pPr>
        <w:pStyle w:val="BodyText"/>
        <w:spacing w:before="10"/>
        <w:rPr>
          <w:sz w:val="21"/>
        </w:rPr>
      </w:pPr>
    </w:p>
    <w:p>
      <w:pPr>
        <w:pStyle w:val="Heading2"/>
        <w:ind w:firstLine="0"/>
      </w:pPr>
      <w:r>
        <w:rPr/>
        <w:t>Chief Executive’s Response</w:t>
      </w:r>
    </w:p>
    <w:p>
      <w:pPr>
        <w:pStyle w:val="BodyText"/>
        <w:spacing w:before="10"/>
        <w:rPr>
          <w:b/>
          <w:sz w:val="21"/>
        </w:rPr>
      </w:pPr>
    </w:p>
    <w:p>
      <w:pPr>
        <w:pStyle w:val="BodyText"/>
        <w:ind w:left="838" w:right="74"/>
      </w:pPr>
      <w:r>
        <w:rPr/>
        <w:t>The </w:t>
      </w:r>
      <w:r>
        <w:rPr>
          <w:spacing w:val="-4"/>
        </w:rPr>
        <w:t>Council has appointed </w:t>
      </w:r>
      <w:r>
        <w:rPr/>
        <w:t>an </w:t>
      </w:r>
      <w:r>
        <w:rPr>
          <w:spacing w:val="-4"/>
        </w:rPr>
        <w:t>external investigator </w:t>
      </w:r>
      <w:r>
        <w:rPr>
          <w:spacing w:val="-3"/>
        </w:rPr>
        <w:t>to carry out </w:t>
      </w:r>
      <w:r>
        <w:rPr>
          <w:spacing w:val="-4"/>
        </w:rPr>
        <w:t>this investigation. This investigation </w:t>
      </w:r>
      <w:r>
        <w:rPr/>
        <w:t>is </w:t>
      </w:r>
      <w:r>
        <w:rPr>
          <w:spacing w:val="-4"/>
        </w:rPr>
        <w:t>ongoing </w:t>
      </w:r>
      <w:r>
        <w:rPr/>
        <w:t>at </w:t>
      </w:r>
      <w:r>
        <w:rPr>
          <w:spacing w:val="-4"/>
        </w:rPr>
        <w:t>present.</w:t>
      </w:r>
    </w:p>
    <w:p>
      <w:pPr>
        <w:pStyle w:val="BodyText"/>
        <w:spacing w:before="9"/>
        <w:rPr>
          <w:sz w:val="21"/>
        </w:rPr>
      </w:pPr>
    </w:p>
    <w:p>
      <w:pPr>
        <w:pStyle w:val="Heading2"/>
        <w:numPr>
          <w:ilvl w:val="0"/>
          <w:numId w:val="3"/>
        </w:numPr>
        <w:tabs>
          <w:tab w:pos="837" w:val="left" w:leader="none"/>
          <w:tab w:pos="838" w:val="left" w:leader="none"/>
        </w:tabs>
        <w:spacing w:line="240" w:lineRule="auto" w:before="1" w:after="0"/>
        <w:ind w:left="838" w:right="0" w:hanging="720"/>
        <w:jc w:val="left"/>
      </w:pPr>
      <w:r>
        <w:rPr>
          <w:spacing w:val="-4"/>
        </w:rPr>
        <w:t>Acknowledgement</w:t>
      </w:r>
    </w:p>
    <w:p>
      <w:pPr>
        <w:pStyle w:val="BodyText"/>
        <w:spacing w:before="2"/>
        <w:rPr>
          <w:b/>
          <w:sz w:val="24"/>
        </w:rPr>
      </w:pPr>
    </w:p>
    <w:p>
      <w:pPr>
        <w:pStyle w:val="BodyText"/>
        <w:ind w:left="826" w:right="623"/>
      </w:pPr>
      <w:r>
        <w:rPr/>
        <w:t>I wish to record my appreciation for the courtesy and co-operation extended to me by the management and staff of the Council.</w:t>
      </w:r>
    </w:p>
    <w:p>
      <w:pPr>
        <w:pStyle w:val="BodyText"/>
        <w:rPr>
          <w:sz w:val="20"/>
        </w:rPr>
      </w:pPr>
    </w:p>
    <w:p>
      <w:pPr>
        <w:pStyle w:val="BodyText"/>
        <w:rPr>
          <w:sz w:val="20"/>
        </w:rPr>
      </w:pPr>
    </w:p>
    <w:p>
      <w:pPr>
        <w:pStyle w:val="BodyText"/>
        <w:spacing w:before="1"/>
        <w:rPr>
          <w:sz w:val="25"/>
        </w:rPr>
      </w:pPr>
      <w:r>
        <w:rPr/>
        <w:drawing>
          <wp:anchor distT="0" distB="0" distL="0" distR="0" allowOverlap="1" layoutInCell="1" locked="0" behindDoc="0" simplePos="0" relativeHeight="1048">
            <wp:simplePos x="0" y="0"/>
            <wp:positionH relativeFrom="page">
              <wp:posOffset>1321435</wp:posOffset>
            </wp:positionH>
            <wp:positionV relativeFrom="paragraph">
              <wp:posOffset>207995</wp:posOffset>
            </wp:positionV>
            <wp:extent cx="1999047" cy="804672"/>
            <wp:effectExtent l="0" t="0" r="0" b="0"/>
            <wp:wrapTopAndBottom/>
            <wp:docPr id="5" name="image3.jpeg" descr=""/>
            <wp:cNvGraphicFramePr>
              <a:graphicFrameLocks noChangeAspect="1"/>
            </wp:cNvGraphicFramePr>
            <a:graphic>
              <a:graphicData uri="http://schemas.openxmlformats.org/drawingml/2006/picture">
                <pic:pic>
                  <pic:nvPicPr>
                    <pic:cNvPr id="6" name="image3.jpeg"/>
                    <pic:cNvPicPr/>
                  </pic:nvPicPr>
                  <pic:blipFill>
                    <a:blip r:embed="rId10" cstate="print"/>
                    <a:stretch>
                      <a:fillRect/>
                    </a:stretch>
                  </pic:blipFill>
                  <pic:spPr>
                    <a:xfrm>
                      <a:off x="0" y="0"/>
                      <a:ext cx="1999047" cy="804672"/>
                    </a:xfrm>
                    <a:prstGeom prst="rect">
                      <a:avLst/>
                    </a:prstGeom>
                  </pic:spPr>
                </pic:pic>
              </a:graphicData>
            </a:graphic>
          </wp:anchor>
        </w:drawing>
      </w:r>
      <w:r>
        <w:rPr/>
        <w:pict>
          <v:line style="position:absolute;mso-position-horizontal-relative:page;mso-position-vertical-relative:paragraph;z-index:1072;mso-wrap-distance-left:0;mso-wrap-distance-right:0" from="125.900002pt,91.621574pt" to="238.162531pt,91.621574pt" stroked="true" strokeweight=".552pt" strokecolor="#000000">
            <v:stroke dashstyle="solid"/>
            <w10:wrap type="topAndBottom"/>
          </v:line>
        </w:pict>
      </w:r>
    </w:p>
    <w:p>
      <w:pPr>
        <w:pStyle w:val="BodyText"/>
        <w:spacing w:before="3"/>
        <w:rPr>
          <w:sz w:val="14"/>
        </w:rPr>
      </w:pPr>
    </w:p>
    <w:p>
      <w:pPr>
        <w:pStyle w:val="Heading2"/>
        <w:spacing w:line="241" w:lineRule="exact"/>
        <w:ind w:left="826" w:firstLine="0"/>
      </w:pPr>
      <w:r>
        <w:rPr/>
        <w:t>Patrick McCabe</w:t>
      </w:r>
    </w:p>
    <w:p>
      <w:pPr>
        <w:spacing w:before="0"/>
        <w:ind w:left="826" w:right="5428" w:firstLine="0"/>
        <w:jc w:val="left"/>
        <w:rPr>
          <w:b/>
          <w:sz w:val="22"/>
        </w:rPr>
      </w:pPr>
      <w:r>
        <w:rPr>
          <w:b/>
          <w:sz w:val="22"/>
        </w:rPr>
        <w:t>Local Government Auditor 12 July 2017</w:t>
      </w:r>
    </w:p>
    <w:sectPr>
      <w:footerReference w:type="default" r:id="rId9"/>
      <w:pgSz w:w="11910" w:h="16840"/>
      <w:pgMar w:footer="447" w:header="0" w:top="1320" w:bottom="64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BoldItalicMT">
    <w:altName w:val="Arial-BoldItalicMT"/>
    <w:charset w:val="0"/>
    <w:family w:val="swiss"/>
    <w:pitch w:val="variable"/>
  </w:font>
  <w:font w:name="Arial">
    <w:altName w:val="Arial"/>
    <w:charset w:val="0"/>
    <w:family w:val="swiss"/>
    <w:pitch w:val="variable"/>
  </w:font>
  <w:font w:name="Arial Narrow">
    <w:altName w:val="Arial Narrow"/>
    <w:charset w:val="0"/>
    <w:family w:val="swiss"/>
    <w:pitch w:val="variable"/>
  </w:font>
  <w:font w:name="Symbol">
    <w:altName w:val="Symbol"/>
    <w:charset w:val="0"/>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294.950012pt;margin-top:808.576721pt;width:10.7pt;height:15.45pt;mso-position-horizontal-relative:page;mso-position-vertical-relative:page;z-index:-14176" type="#_x0000_t202" filled="false" stroked="false">
          <v:textbox inset="0,0,0,0">
            <w:txbxContent>
              <w:p>
                <w:pPr>
                  <w:spacing w:before="12"/>
                  <w:ind w:left="40" w:right="0" w:firstLine="0"/>
                  <w:jc w:val="left"/>
                  <w:rPr>
                    <w:rFonts w:ascii="Arial"/>
                    <w:sz w:val="24"/>
                  </w:rPr>
                </w:pPr>
                <w:r>
                  <w:rPr/>
                  <w:fldChar w:fldCharType="begin"/>
                </w:r>
                <w:r>
                  <w:rPr>
                    <w:rFonts w:ascii="Arial"/>
                    <w:w w:val="99"/>
                    <w:sz w:val="24"/>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5.950012pt;margin-top:808.576721pt;width:15.45pt;height:15.45pt;mso-position-horizontal-relative:page;mso-position-vertical-relative:page;z-index:-14152" type="#_x0000_t202" filled="false" stroked="false">
          <v:textbox inset="0,0,0,0">
            <w:txbxContent>
              <w:p>
                <w:pPr>
                  <w:spacing w:before="12"/>
                  <w:ind w:left="20" w:right="0" w:firstLine="0"/>
                  <w:jc w:val="left"/>
                  <w:rPr>
                    <w:rFonts w:ascii="Arial"/>
                    <w:sz w:val="24"/>
                  </w:rPr>
                </w:pPr>
                <w:r>
                  <w:rPr>
                    <w:rFonts w:ascii="Arial"/>
                    <w:sz w:val="24"/>
                  </w:rPr>
                  <w:t>10</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5.950012pt;margin-top:808.576721pt;width:15.45pt;height:15.45pt;mso-position-horizontal-relative:page;mso-position-vertical-relative:page;z-index:-14128" type="#_x0000_t202" filled="false" stroked="false">
          <v:textbox inset="0,0,0,0">
            <w:txbxContent>
              <w:p>
                <w:pPr>
                  <w:spacing w:before="12"/>
                  <w:ind w:left="20" w:right="0" w:firstLine="0"/>
                  <w:jc w:val="left"/>
                  <w:rPr>
                    <w:rFonts w:ascii="Arial"/>
                    <w:sz w:val="24"/>
                  </w:rPr>
                </w:pPr>
                <w:r>
                  <w:rPr>
                    <w:rFonts w:ascii="Arial"/>
                    <w:sz w:val="24"/>
                  </w:rPr>
                  <w:t>11</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0"/>
      <w:numFmt w:val="bullet"/>
      <w:lvlText w:val=""/>
      <w:lvlJc w:val="left"/>
      <w:pPr>
        <w:ind w:left="1558" w:hanging="360"/>
      </w:pPr>
      <w:rPr>
        <w:rFonts w:hint="default" w:ascii="Symbol" w:hAnsi="Symbol" w:eastAsia="Symbol" w:cs="Symbol"/>
        <w:w w:val="76"/>
        <w:sz w:val="22"/>
        <w:szCs w:val="22"/>
      </w:rPr>
    </w:lvl>
    <w:lvl w:ilvl="1">
      <w:start w:val="0"/>
      <w:numFmt w:val="bullet"/>
      <w:lvlText w:val="•"/>
      <w:lvlJc w:val="left"/>
      <w:pPr>
        <w:ind w:left="2258" w:hanging="360"/>
      </w:pPr>
      <w:rPr>
        <w:rFonts w:hint="default"/>
      </w:rPr>
    </w:lvl>
    <w:lvl w:ilvl="2">
      <w:start w:val="0"/>
      <w:numFmt w:val="bullet"/>
      <w:lvlText w:val="•"/>
      <w:lvlJc w:val="left"/>
      <w:pPr>
        <w:ind w:left="2957" w:hanging="360"/>
      </w:pPr>
      <w:rPr>
        <w:rFonts w:hint="default"/>
      </w:rPr>
    </w:lvl>
    <w:lvl w:ilvl="3">
      <w:start w:val="0"/>
      <w:numFmt w:val="bullet"/>
      <w:lvlText w:val="•"/>
      <w:lvlJc w:val="left"/>
      <w:pPr>
        <w:ind w:left="3655" w:hanging="360"/>
      </w:pPr>
      <w:rPr>
        <w:rFonts w:hint="default"/>
      </w:rPr>
    </w:lvl>
    <w:lvl w:ilvl="4">
      <w:start w:val="0"/>
      <w:numFmt w:val="bullet"/>
      <w:lvlText w:val="•"/>
      <w:lvlJc w:val="left"/>
      <w:pPr>
        <w:ind w:left="4354" w:hanging="360"/>
      </w:pPr>
      <w:rPr>
        <w:rFonts w:hint="default"/>
      </w:rPr>
    </w:lvl>
    <w:lvl w:ilvl="5">
      <w:start w:val="0"/>
      <w:numFmt w:val="bullet"/>
      <w:lvlText w:val="•"/>
      <w:lvlJc w:val="left"/>
      <w:pPr>
        <w:ind w:left="5053" w:hanging="360"/>
      </w:pPr>
      <w:rPr>
        <w:rFonts w:hint="default"/>
      </w:rPr>
    </w:lvl>
    <w:lvl w:ilvl="6">
      <w:start w:val="0"/>
      <w:numFmt w:val="bullet"/>
      <w:lvlText w:val="•"/>
      <w:lvlJc w:val="left"/>
      <w:pPr>
        <w:ind w:left="5751" w:hanging="360"/>
      </w:pPr>
      <w:rPr>
        <w:rFonts w:hint="default"/>
      </w:rPr>
    </w:lvl>
    <w:lvl w:ilvl="7">
      <w:start w:val="0"/>
      <w:numFmt w:val="bullet"/>
      <w:lvlText w:val="•"/>
      <w:lvlJc w:val="left"/>
      <w:pPr>
        <w:ind w:left="6450" w:hanging="360"/>
      </w:pPr>
      <w:rPr>
        <w:rFonts w:hint="default"/>
      </w:rPr>
    </w:lvl>
    <w:lvl w:ilvl="8">
      <w:start w:val="0"/>
      <w:numFmt w:val="bullet"/>
      <w:lvlText w:val="•"/>
      <w:lvlJc w:val="left"/>
      <w:pPr>
        <w:ind w:left="7149" w:hanging="360"/>
      </w:pPr>
      <w:rPr>
        <w:rFonts w:hint="default"/>
      </w:rPr>
    </w:lvl>
  </w:abstractNum>
  <w:abstractNum w:abstractNumId="6">
    <w:multiLevelType w:val="hybridMultilevel"/>
    <w:lvl w:ilvl="0">
      <w:start w:val="0"/>
      <w:numFmt w:val="bullet"/>
      <w:lvlText w:val=""/>
      <w:lvlJc w:val="left"/>
      <w:pPr>
        <w:ind w:left="1558" w:hanging="360"/>
      </w:pPr>
      <w:rPr>
        <w:rFonts w:hint="default" w:ascii="Symbol" w:hAnsi="Symbol" w:eastAsia="Symbol" w:cs="Symbol"/>
        <w:w w:val="76"/>
        <w:sz w:val="22"/>
        <w:szCs w:val="22"/>
      </w:rPr>
    </w:lvl>
    <w:lvl w:ilvl="1">
      <w:start w:val="0"/>
      <w:numFmt w:val="bullet"/>
      <w:lvlText w:val="•"/>
      <w:lvlJc w:val="left"/>
      <w:pPr>
        <w:ind w:left="2258" w:hanging="360"/>
      </w:pPr>
      <w:rPr>
        <w:rFonts w:hint="default"/>
      </w:rPr>
    </w:lvl>
    <w:lvl w:ilvl="2">
      <w:start w:val="0"/>
      <w:numFmt w:val="bullet"/>
      <w:lvlText w:val="•"/>
      <w:lvlJc w:val="left"/>
      <w:pPr>
        <w:ind w:left="2957" w:hanging="360"/>
      </w:pPr>
      <w:rPr>
        <w:rFonts w:hint="default"/>
      </w:rPr>
    </w:lvl>
    <w:lvl w:ilvl="3">
      <w:start w:val="0"/>
      <w:numFmt w:val="bullet"/>
      <w:lvlText w:val="•"/>
      <w:lvlJc w:val="left"/>
      <w:pPr>
        <w:ind w:left="3655" w:hanging="360"/>
      </w:pPr>
      <w:rPr>
        <w:rFonts w:hint="default"/>
      </w:rPr>
    </w:lvl>
    <w:lvl w:ilvl="4">
      <w:start w:val="0"/>
      <w:numFmt w:val="bullet"/>
      <w:lvlText w:val="•"/>
      <w:lvlJc w:val="left"/>
      <w:pPr>
        <w:ind w:left="4354" w:hanging="360"/>
      </w:pPr>
      <w:rPr>
        <w:rFonts w:hint="default"/>
      </w:rPr>
    </w:lvl>
    <w:lvl w:ilvl="5">
      <w:start w:val="0"/>
      <w:numFmt w:val="bullet"/>
      <w:lvlText w:val="•"/>
      <w:lvlJc w:val="left"/>
      <w:pPr>
        <w:ind w:left="5053" w:hanging="360"/>
      </w:pPr>
      <w:rPr>
        <w:rFonts w:hint="default"/>
      </w:rPr>
    </w:lvl>
    <w:lvl w:ilvl="6">
      <w:start w:val="0"/>
      <w:numFmt w:val="bullet"/>
      <w:lvlText w:val="•"/>
      <w:lvlJc w:val="left"/>
      <w:pPr>
        <w:ind w:left="5751" w:hanging="360"/>
      </w:pPr>
      <w:rPr>
        <w:rFonts w:hint="default"/>
      </w:rPr>
    </w:lvl>
    <w:lvl w:ilvl="7">
      <w:start w:val="0"/>
      <w:numFmt w:val="bullet"/>
      <w:lvlText w:val="•"/>
      <w:lvlJc w:val="left"/>
      <w:pPr>
        <w:ind w:left="6450" w:hanging="360"/>
      </w:pPr>
      <w:rPr>
        <w:rFonts w:hint="default"/>
      </w:rPr>
    </w:lvl>
    <w:lvl w:ilvl="8">
      <w:start w:val="0"/>
      <w:numFmt w:val="bullet"/>
      <w:lvlText w:val="•"/>
      <w:lvlJc w:val="left"/>
      <w:pPr>
        <w:ind w:left="7149" w:hanging="360"/>
      </w:pPr>
      <w:rPr>
        <w:rFonts w:hint="default"/>
      </w:rPr>
    </w:lvl>
  </w:abstractNum>
  <w:abstractNum w:abstractNumId="5">
    <w:multiLevelType w:val="hybridMultilevel"/>
    <w:lvl w:ilvl="0">
      <w:start w:val="0"/>
      <w:numFmt w:val="bullet"/>
      <w:lvlText w:val=""/>
      <w:lvlJc w:val="left"/>
      <w:pPr>
        <w:ind w:left="1558" w:hanging="360"/>
      </w:pPr>
      <w:rPr>
        <w:rFonts w:hint="default" w:ascii="Symbol" w:hAnsi="Symbol" w:eastAsia="Symbol" w:cs="Symbol"/>
        <w:w w:val="76"/>
        <w:sz w:val="22"/>
        <w:szCs w:val="22"/>
      </w:rPr>
    </w:lvl>
    <w:lvl w:ilvl="1">
      <w:start w:val="0"/>
      <w:numFmt w:val="bullet"/>
      <w:lvlText w:val="•"/>
      <w:lvlJc w:val="left"/>
      <w:pPr>
        <w:ind w:left="2258" w:hanging="360"/>
      </w:pPr>
      <w:rPr>
        <w:rFonts w:hint="default"/>
      </w:rPr>
    </w:lvl>
    <w:lvl w:ilvl="2">
      <w:start w:val="0"/>
      <w:numFmt w:val="bullet"/>
      <w:lvlText w:val="•"/>
      <w:lvlJc w:val="left"/>
      <w:pPr>
        <w:ind w:left="2957" w:hanging="360"/>
      </w:pPr>
      <w:rPr>
        <w:rFonts w:hint="default"/>
      </w:rPr>
    </w:lvl>
    <w:lvl w:ilvl="3">
      <w:start w:val="0"/>
      <w:numFmt w:val="bullet"/>
      <w:lvlText w:val="•"/>
      <w:lvlJc w:val="left"/>
      <w:pPr>
        <w:ind w:left="3655" w:hanging="360"/>
      </w:pPr>
      <w:rPr>
        <w:rFonts w:hint="default"/>
      </w:rPr>
    </w:lvl>
    <w:lvl w:ilvl="4">
      <w:start w:val="0"/>
      <w:numFmt w:val="bullet"/>
      <w:lvlText w:val="•"/>
      <w:lvlJc w:val="left"/>
      <w:pPr>
        <w:ind w:left="4354" w:hanging="360"/>
      </w:pPr>
      <w:rPr>
        <w:rFonts w:hint="default"/>
      </w:rPr>
    </w:lvl>
    <w:lvl w:ilvl="5">
      <w:start w:val="0"/>
      <w:numFmt w:val="bullet"/>
      <w:lvlText w:val="•"/>
      <w:lvlJc w:val="left"/>
      <w:pPr>
        <w:ind w:left="5053" w:hanging="360"/>
      </w:pPr>
      <w:rPr>
        <w:rFonts w:hint="default"/>
      </w:rPr>
    </w:lvl>
    <w:lvl w:ilvl="6">
      <w:start w:val="0"/>
      <w:numFmt w:val="bullet"/>
      <w:lvlText w:val="•"/>
      <w:lvlJc w:val="left"/>
      <w:pPr>
        <w:ind w:left="5751" w:hanging="360"/>
      </w:pPr>
      <w:rPr>
        <w:rFonts w:hint="default"/>
      </w:rPr>
    </w:lvl>
    <w:lvl w:ilvl="7">
      <w:start w:val="0"/>
      <w:numFmt w:val="bullet"/>
      <w:lvlText w:val="•"/>
      <w:lvlJc w:val="left"/>
      <w:pPr>
        <w:ind w:left="6450" w:hanging="360"/>
      </w:pPr>
      <w:rPr>
        <w:rFonts w:hint="default"/>
      </w:rPr>
    </w:lvl>
    <w:lvl w:ilvl="8">
      <w:start w:val="0"/>
      <w:numFmt w:val="bullet"/>
      <w:lvlText w:val="•"/>
      <w:lvlJc w:val="left"/>
      <w:pPr>
        <w:ind w:left="7149" w:hanging="360"/>
      </w:pPr>
      <w:rPr>
        <w:rFonts w:hint="default"/>
      </w:rPr>
    </w:lvl>
  </w:abstractNum>
  <w:abstractNum w:abstractNumId="4">
    <w:multiLevelType w:val="hybridMultilevel"/>
    <w:lvl w:ilvl="0">
      <w:start w:val="0"/>
      <w:numFmt w:val="bullet"/>
      <w:lvlText w:val=""/>
      <w:lvlJc w:val="left"/>
      <w:pPr>
        <w:ind w:left="1558" w:hanging="360"/>
      </w:pPr>
      <w:rPr>
        <w:rFonts w:hint="default" w:ascii="Symbol" w:hAnsi="Symbol" w:eastAsia="Symbol" w:cs="Symbol"/>
        <w:w w:val="76"/>
        <w:sz w:val="22"/>
        <w:szCs w:val="22"/>
      </w:rPr>
    </w:lvl>
    <w:lvl w:ilvl="1">
      <w:start w:val="0"/>
      <w:numFmt w:val="bullet"/>
      <w:lvlText w:val="•"/>
      <w:lvlJc w:val="left"/>
      <w:pPr>
        <w:ind w:left="2258" w:hanging="360"/>
      </w:pPr>
      <w:rPr>
        <w:rFonts w:hint="default"/>
      </w:rPr>
    </w:lvl>
    <w:lvl w:ilvl="2">
      <w:start w:val="0"/>
      <w:numFmt w:val="bullet"/>
      <w:lvlText w:val="•"/>
      <w:lvlJc w:val="left"/>
      <w:pPr>
        <w:ind w:left="2957" w:hanging="360"/>
      </w:pPr>
      <w:rPr>
        <w:rFonts w:hint="default"/>
      </w:rPr>
    </w:lvl>
    <w:lvl w:ilvl="3">
      <w:start w:val="0"/>
      <w:numFmt w:val="bullet"/>
      <w:lvlText w:val="•"/>
      <w:lvlJc w:val="left"/>
      <w:pPr>
        <w:ind w:left="3655" w:hanging="360"/>
      </w:pPr>
      <w:rPr>
        <w:rFonts w:hint="default"/>
      </w:rPr>
    </w:lvl>
    <w:lvl w:ilvl="4">
      <w:start w:val="0"/>
      <w:numFmt w:val="bullet"/>
      <w:lvlText w:val="•"/>
      <w:lvlJc w:val="left"/>
      <w:pPr>
        <w:ind w:left="4354" w:hanging="360"/>
      </w:pPr>
      <w:rPr>
        <w:rFonts w:hint="default"/>
      </w:rPr>
    </w:lvl>
    <w:lvl w:ilvl="5">
      <w:start w:val="0"/>
      <w:numFmt w:val="bullet"/>
      <w:lvlText w:val="•"/>
      <w:lvlJc w:val="left"/>
      <w:pPr>
        <w:ind w:left="5053" w:hanging="360"/>
      </w:pPr>
      <w:rPr>
        <w:rFonts w:hint="default"/>
      </w:rPr>
    </w:lvl>
    <w:lvl w:ilvl="6">
      <w:start w:val="0"/>
      <w:numFmt w:val="bullet"/>
      <w:lvlText w:val="•"/>
      <w:lvlJc w:val="left"/>
      <w:pPr>
        <w:ind w:left="5751" w:hanging="360"/>
      </w:pPr>
      <w:rPr>
        <w:rFonts w:hint="default"/>
      </w:rPr>
    </w:lvl>
    <w:lvl w:ilvl="7">
      <w:start w:val="0"/>
      <w:numFmt w:val="bullet"/>
      <w:lvlText w:val="•"/>
      <w:lvlJc w:val="left"/>
      <w:pPr>
        <w:ind w:left="6450" w:hanging="360"/>
      </w:pPr>
      <w:rPr>
        <w:rFonts w:hint="default"/>
      </w:rPr>
    </w:lvl>
    <w:lvl w:ilvl="8">
      <w:start w:val="0"/>
      <w:numFmt w:val="bullet"/>
      <w:lvlText w:val="•"/>
      <w:lvlJc w:val="left"/>
      <w:pPr>
        <w:ind w:left="7149" w:hanging="360"/>
      </w:pPr>
      <w:rPr>
        <w:rFonts w:hint="default"/>
      </w:rPr>
    </w:lvl>
  </w:abstractNum>
  <w:abstractNum w:abstractNumId="2">
    <w:multiLevelType w:val="hybridMultilevel"/>
    <w:lvl w:ilvl="0">
      <w:start w:val="1"/>
      <w:numFmt w:val="decimal"/>
      <w:lvlText w:val="%1."/>
      <w:lvlJc w:val="left"/>
      <w:pPr>
        <w:ind w:left="826" w:hanging="202"/>
        <w:jc w:val="right"/>
      </w:pPr>
      <w:rPr>
        <w:rFonts w:hint="default"/>
        <w:spacing w:val="-1"/>
        <w:w w:val="100"/>
      </w:rPr>
    </w:lvl>
    <w:lvl w:ilvl="1">
      <w:start w:val="1"/>
      <w:numFmt w:val="decimal"/>
      <w:lvlText w:val="%1.%2"/>
      <w:lvlJc w:val="left"/>
      <w:pPr>
        <w:ind w:left="838" w:hanging="720"/>
        <w:jc w:val="left"/>
      </w:pPr>
      <w:rPr>
        <w:rFonts w:hint="default" w:ascii="Arial Narrow" w:hAnsi="Arial Narrow" w:eastAsia="Arial Narrow" w:cs="Arial Narrow"/>
        <w:b/>
        <w:bCs/>
        <w:spacing w:val="-3"/>
        <w:w w:val="100"/>
        <w:sz w:val="22"/>
        <w:szCs w:val="22"/>
      </w:rPr>
    </w:lvl>
    <w:lvl w:ilvl="2">
      <w:start w:val="0"/>
      <w:numFmt w:val="bullet"/>
      <w:lvlText w:val=""/>
      <w:lvlJc w:val="left"/>
      <w:pPr>
        <w:ind w:left="1123" w:hanging="360"/>
      </w:pPr>
      <w:rPr>
        <w:rFonts w:hint="default" w:ascii="Symbol" w:hAnsi="Symbol" w:eastAsia="Symbol" w:cs="Symbol"/>
        <w:w w:val="76"/>
        <w:sz w:val="22"/>
        <w:szCs w:val="22"/>
      </w:rPr>
    </w:lvl>
    <w:lvl w:ilvl="3">
      <w:start w:val="0"/>
      <w:numFmt w:val="bullet"/>
      <w:lvlText w:val="•"/>
      <w:lvlJc w:val="left"/>
      <w:pPr>
        <w:ind w:left="2048" w:hanging="360"/>
      </w:pPr>
      <w:rPr>
        <w:rFonts w:hint="default"/>
      </w:rPr>
    </w:lvl>
    <w:lvl w:ilvl="4">
      <w:start w:val="0"/>
      <w:numFmt w:val="bullet"/>
      <w:lvlText w:val="•"/>
      <w:lvlJc w:val="left"/>
      <w:pPr>
        <w:ind w:left="2976" w:hanging="360"/>
      </w:pPr>
      <w:rPr>
        <w:rFonts w:hint="default"/>
      </w:rPr>
    </w:lvl>
    <w:lvl w:ilvl="5">
      <w:start w:val="0"/>
      <w:numFmt w:val="bullet"/>
      <w:lvlText w:val="•"/>
      <w:lvlJc w:val="left"/>
      <w:pPr>
        <w:ind w:left="3904" w:hanging="360"/>
      </w:pPr>
      <w:rPr>
        <w:rFonts w:hint="default"/>
      </w:rPr>
    </w:lvl>
    <w:lvl w:ilvl="6">
      <w:start w:val="0"/>
      <w:numFmt w:val="bullet"/>
      <w:lvlText w:val="•"/>
      <w:lvlJc w:val="left"/>
      <w:pPr>
        <w:ind w:left="4833" w:hanging="360"/>
      </w:pPr>
      <w:rPr>
        <w:rFonts w:hint="default"/>
      </w:rPr>
    </w:lvl>
    <w:lvl w:ilvl="7">
      <w:start w:val="0"/>
      <w:numFmt w:val="bullet"/>
      <w:lvlText w:val="•"/>
      <w:lvlJc w:val="left"/>
      <w:pPr>
        <w:ind w:left="5761" w:hanging="360"/>
      </w:pPr>
      <w:rPr>
        <w:rFonts w:hint="default"/>
      </w:rPr>
    </w:lvl>
    <w:lvl w:ilvl="8">
      <w:start w:val="0"/>
      <w:numFmt w:val="bullet"/>
      <w:lvlText w:val="•"/>
      <w:lvlJc w:val="left"/>
      <w:pPr>
        <w:ind w:left="6689" w:hanging="360"/>
      </w:pPr>
      <w:rPr>
        <w:rFonts w:hint="default"/>
      </w:rPr>
    </w:lvl>
  </w:abstractNum>
  <w:abstractNum w:abstractNumId="1">
    <w:multiLevelType w:val="hybridMultilevel"/>
    <w:lvl w:ilvl="0">
      <w:start w:val="0"/>
      <w:numFmt w:val="bullet"/>
      <w:lvlText w:val=""/>
      <w:lvlJc w:val="left"/>
      <w:pPr>
        <w:ind w:left="1546" w:hanging="360"/>
      </w:pPr>
      <w:rPr>
        <w:rFonts w:hint="default" w:ascii="Symbol" w:hAnsi="Symbol" w:eastAsia="Symbol" w:cs="Symbol"/>
        <w:w w:val="76"/>
        <w:sz w:val="22"/>
        <w:szCs w:val="22"/>
      </w:rPr>
    </w:lvl>
    <w:lvl w:ilvl="1">
      <w:start w:val="0"/>
      <w:numFmt w:val="bullet"/>
      <w:lvlText w:val="•"/>
      <w:lvlJc w:val="left"/>
      <w:pPr>
        <w:ind w:left="2240" w:hanging="360"/>
      </w:pPr>
      <w:rPr>
        <w:rFonts w:hint="default"/>
      </w:rPr>
    </w:lvl>
    <w:lvl w:ilvl="2">
      <w:start w:val="0"/>
      <w:numFmt w:val="bullet"/>
      <w:lvlText w:val="•"/>
      <w:lvlJc w:val="left"/>
      <w:pPr>
        <w:ind w:left="2941" w:hanging="360"/>
      </w:pPr>
      <w:rPr>
        <w:rFonts w:hint="default"/>
      </w:rPr>
    </w:lvl>
    <w:lvl w:ilvl="3">
      <w:start w:val="0"/>
      <w:numFmt w:val="bullet"/>
      <w:lvlText w:val="•"/>
      <w:lvlJc w:val="left"/>
      <w:pPr>
        <w:ind w:left="3641" w:hanging="360"/>
      </w:pPr>
      <w:rPr>
        <w:rFonts w:hint="default"/>
      </w:rPr>
    </w:lvl>
    <w:lvl w:ilvl="4">
      <w:start w:val="0"/>
      <w:numFmt w:val="bullet"/>
      <w:lvlText w:val="•"/>
      <w:lvlJc w:val="left"/>
      <w:pPr>
        <w:ind w:left="4342" w:hanging="360"/>
      </w:pPr>
      <w:rPr>
        <w:rFonts w:hint="default"/>
      </w:rPr>
    </w:lvl>
    <w:lvl w:ilvl="5">
      <w:start w:val="0"/>
      <w:numFmt w:val="bullet"/>
      <w:lvlText w:val="•"/>
      <w:lvlJc w:val="left"/>
      <w:pPr>
        <w:ind w:left="5043" w:hanging="360"/>
      </w:pPr>
      <w:rPr>
        <w:rFonts w:hint="default"/>
      </w:rPr>
    </w:lvl>
    <w:lvl w:ilvl="6">
      <w:start w:val="0"/>
      <w:numFmt w:val="bullet"/>
      <w:lvlText w:val="•"/>
      <w:lvlJc w:val="left"/>
      <w:pPr>
        <w:ind w:left="5743" w:hanging="360"/>
      </w:pPr>
      <w:rPr>
        <w:rFonts w:hint="default"/>
      </w:rPr>
    </w:lvl>
    <w:lvl w:ilvl="7">
      <w:start w:val="0"/>
      <w:numFmt w:val="bullet"/>
      <w:lvlText w:val="•"/>
      <w:lvlJc w:val="left"/>
      <w:pPr>
        <w:ind w:left="6444" w:hanging="360"/>
      </w:pPr>
      <w:rPr>
        <w:rFonts w:hint="default"/>
      </w:rPr>
    </w:lvl>
    <w:lvl w:ilvl="8">
      <w:start w:val="0"/>
      <w:numFmt w:val="bullet"/>
      <w:lvlText w:val="•"/>
      <w:lvlJc w:val="left"/>
      <w:pPr>
        <w:ind w:left="7145" w:hanging="360"/>
      </w:pPr>
      <w:rPr>
        <w:rFonts w:hint="default"/>
      </w:rPr>
    </w:lvl>
  </w:abstractNum>
  <w:abstractNum w:abstractNumId="0">
    <w:multiLevelType w:val="hybridMultilevel"/>
    <w:lvl w:ilvl="0">
      <w:start w:val="1"/>
      <w:numFmt w:val="decimal"/>
      <w:lvlText w:val="%1."/>
      <w:lvlJc w:val="left"/>
      <w:pPr>
        <w:ind w:left="838" w:hanging="720"/>
        <w:jc w:val="left"/>
      </w:pPr>
      <w:rPr>
        <w:rFonts w:hint="default" w:ascii="Arial Narrow" w:hAnsi="Arial Narrow" w:eastAsia="Arial Narrow" w:cs="Arial Narrow"/>
        <w:b/>
        <w:bCs/>
        <w:spacing w:val="-3"/>
        <w:w w:val="100"/>
        <w:sz w:val="22"/>
        <w:szCs w:val="22"/>
      </w:rPr>
    </w:lvl>
    <w:lvl w:ilvl="1">
      <w:start w:val="1"/>
      <w:numFmt w:val="decimal"/>
      <w:lvlText w:val="%1.%2"/>
      <w:lvlJc w:val="left"/>
      <w:pPr>
        <w:ind w:left="838" w:hanging="720"/>
        <w:jc w:val="left"/>
      </w:pPr>
      <w:rPr>
        <w:rFonts w:hint="default" w:ascii="Arial Narrow" w:hAnsi="Arial Narrow" w:eastAsia="Arial Narrow" w:cs="Arial Narrow"/>
        <w:b/>
        <w:bCs/>
        <w:spacing w:val="-3"/>
        <w:w w:val="100"/>
        <w:sz w:val="22"/>
        <w:szCs w:val="22"/>
      </w:rPr>
    </w:lvl>
    <w:lvl w:ilvl="2">
      <w:start w:val="0"/>
      <w:numFmt w:val="bullet"/>
      <w:lvlText w:val="•"/>
      <w:lvlJc w:val="left"/>
      <w:pPr>
        <w:ind w:left="2381" w:hanging="720"/>
      </w:pPr>
      <w:rPr>
        <w:rFonts w:hint="default"/>
      </w:rPr>
    </w:lvl>
    <w:lvl w:ilvl="3">
      <w:start w:val="0"/>
      <w:numFmt w:val="bullet"/>
      <w:lvlText w:val="•"/>
      <w:lvlJc w:val="left"/>
      <w:pPr>
        <w:ind w:left="3151" w:hanging="720"/>
      </w:pPr>
      <w:rPr>
        <w:rFonts w:hint="default"/>
      </w:rPr>
    </w:lvl>
    <w:lvl w:ilvl="4">
      <w:start w:val="0"/>
      <w:numFmt w:val="bullet"/>
      <w:lvlText w:val="•"/>
      <w:lvlJc w:val="left"/>
      <w:pPr>
        <w:ind w:left="3922" w:hanging="720"/>
      </w:pPr>
      <w:rPr>
        <w:rFonts w:hint="default"/>
      </w:rPr>
    </w:lvl>
    <w:lvl w:ilvl="5">
      <w:start w:val="0"/>
      <w:numFmt w:val="bullet"/>
      <w:lvlText w:val="•"/>
      <w:lvlJc w:val="left"/>
      <w:pPr>
        <w:ind w:left="4693" w:hanging="720"/>
      </w:pPr>
      <w:rPr>
        <w:rFonts w:hint="default"/>
      </w:rPr>
    </w:lvl>
    <w:lvl w:ilvl="6">
      <w:start w:val="0"/>
      <w:numFmt w:val="bullet"/>
      <w:lvlText w:val="•"/>
      <w:lvlJc w:val="left"/>
      <w:pPr>
        <w:ind w:left="5463" w:hanging="720"/>
      </w:pPr>
      <w:rPr>
        <w:rFonts w:hint="default"/>
      </w:rPr>
    </w:lvl>
    <w:lvl w:ilvl="7">
      <w:start w:val="0"/>
      <w:numFmt w:val="bullet"/>
      <w:lvlText w:val="•"/>
      <w:lvlJc w:val="left"/>
      <w:pPr>
        <w:ind w:left="6234" w:hanging="720"/>
      </w:pPr>
      <w:rPr>
        <w:rFonts w:hint="default"/>
      </w:rPr>
    </w:lvl>
    <w:lvl w:ilvl="8">
      <w:start w:val="0"/>
      <w:numFmt w:val="bullet"/>
      <w:lvlText w:val="•"/>
      <w:lvlJc w:val="left"/>
      <w:pPr>
        <w:ind w:left="7005" w:hanging="720"/>
      </w:pPr>
      <w:rPr>
        <w:rFonts w:hint="default"/>
      </w:rPr>
    </w:lvl>
  </w:abstractNum>
  <w:num w:numId="4">
    <w:abstractNumId w:val="3"/>
  </w:num>
  <w:num w:numId="7">
    <w:abstractNumId w:val="6"/>
  </w:num>
  <w:num w:numId="6">
    <w:abstractNumId w:val="5"/>
  </w:num>
  <w:num w:numId="5">
    <w:abstractNumId w:val="4"/>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Narrow" w:hAnsi="Arial Narrow" w:eastAsia="Arial Narrow" w:cs="Arial Narrow"/>
    </w:rPr>
  </w:style>
  <w:style w:styleId="BodyText" w:type="paragraph">
    <w:name w:val="Body Text"/>
    <w:basedOn w:val="Normal"/>
    <w:uiPriority w:val="1"/>
    <w:qFormat/>
    <w:pPr/>
    <w:rPr>
      <w:rFonts w:ascii="Arial Narrow" w:hAnsi="Arial Narrow" w:eastAsia="Arial Narrow" w:cs="Arial Narrow"/>
      <w:sz w:val="22"/>
      <w:szCs w:val="22"/>
    </w:rPr>
  </w:style>
  <w:style w:styleId="Heading1" w:type="paragraph">
    <w:name w:val="Heading 1"/>
    <w:basedOn w:val="Normal"/>
    <w:uiPriority w:val="1"/>
    <w:qFormat/>
    <w:pPr>
      <w:ind w:right="2085"/>
      <w:jc w:val="center"/>
      <w:outlineLvl w:val="1"/>
    </w:pPr>
    <w:rPr>
      <w:rFonts w:ascii="Arial Narrow" w:hAnsi="Arial Narrow" w:eastAsia="Arial Narrow" w:cs="Arial Narrow"/>
      <w:b/>
      <w:bCs/>
      <w:sz w:val="28"/>
      <w:szCs w:val="28"/>
    </w:rPr>
  </w:style>
  <w:style w:styleId="Heading2" w:type="paragraph">
    <w:name w:val="Heading 2"/>
    <w:basedOn w:val="Normal"/>
    <w:uiPriority w:val="1"/>
    <w:qFormat/>
    <w:pPr>
      <w:ind w:left="838" w:hanging="720"/>
      <w:outlineLvl w:val="2"/>
    </w:pPr>
    <w:rPr>
      <w:rFonts w:ascii="Arial Narrow" w:hAnsi="Arial Narrow" w:eastAsia="Arial Narrow" w:cs="Arial Narrow"/>
      <w:b/>
      <w:bCs/>
      <w:sz w:val="22"/>
      <w:szCs w:val="22"/>
    </w:rPr>
  </w:style>
  <w:style w:styleId="ListParagraph" w:type="paragraph">
    <w:name w:val="List Paragraph"/>
    <w:basedOn w:val="Normal"/>
    <w:uiPriority w:val="1"/>
    <w:qFormat/>
    <w:pPr>
      <w:ind w:left="838" w:hanging="360"/>
    </w:pPr>
    <w:rPr>
      <w:rFonts w:ascii="Arial Narrow" w:hAnsi="Arial Narrow" w:eastAsia="Arial Narrow" w:cs="Arial Narrow"/>
    </w:rPr>
  </w:style>
  <w:style w:styleId="TableParagraph" w:type="paragraph">
    <w:name w:val="Table Paragraph"/>
    <w:basedOn w:val="Normal"/>
    <w:uiPriority w:val="1"/>
    <w:qFormat/>
    <w:pPr/>
    <w:rPr>
      <w:rFonts w:ascii="Arial Narrow" w:hAnsi="Arial Narrow" w:eastAsia="Arial Narrow" w:cs="Arial Narrow"/>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image" Target="media/image3.jpeg"/><Relationship Id="rId1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Eamonn Daly</dc:creator>
  <dc:title>Appendix 1</dc:title>
  <dcterms:created xsi:type="dcterms:W3CDTF">2017-10-04T15:42:47Z</dcterms:created>
  <dcterms:modified xsi:type="dcterms:W3CDTF">2017-10-04T15:42:47Z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2017-07-14T00:00:00Z</vt:filetime>
  </property>
  <property fmtid="{D5CDD505-2E9C-101B-9397-08002B2CF9AE}" pid="3" name="Creator">
    <vt:lpwstr>Microsoft® Office Word 2007</vt:lpwstr>
  </property>
  <property fmtid="{D5CDD505-2E9C-101B-9397-08002B2CF9AE}" pid="4" name="LastSaved">
    <vt:filetime>2017-10-04T00:00:00Z</vt:filetime>
  </property>
</Properties>
</file>