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Default Extension="png" ContentType="image/png"/>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25"/>
        <w:ind w:left="1482" w:right="1365" w:firstLine="10"/>
        <w:jc w:val="center"/>
        <w:rPr>
          <w:rFonts w:ascii="Verdana"/>
          <w:b/>
          <w:sz w:val="72"/>
        </w:rPr>
      </w:pPr>
      <w:r>
        <w:rPr>
          <w:rFonts w:ascii="Verdana"/>
          <w:b/>
          <w:sz w:val="72"/>
        </w:rPr>
        <w:t>County Cavan Community and Sports Facilities Survey 2016</w:t>
      </w:r>
    </w:p>
    <w:p>
      <w:pPr>
        <w:pStyle w:val="BodyText"/>
        <w:rPr>
          <w:rFonts w:ascii="Verdana"/>
          <w:b/>
          <w:sz w:val="88"/>
        </w:rPr>
      </w:pPr>
    </w:p>
    <w:p>
      <w:pPr>
        <w:spacing w:before="539"/>
        <w:ind w:left="110" w:right="94" w:firstLine="0"/>
        <w:jc w:val="left"/>
        <w:rPr>
          <w:b/>
          <w:sz w:val="28"/>
        </w:rPr>
      </w:pPr>
      <w:r>
        <w:rPr>
          <w:b/>
          <w:sz w:val="28"/>
        </w:rPr>
        <w:t>Compiled by: Cavan Social Inclusion Unit, Cavan County Council on behalf of the Cavan Local Community Development Committee</w:t>
      </w:r>
    </w:p>
    <w:p>
      <w:pPr>
        <w:pStyle w:val="BodyText"/>
        <w:rPr>
          <w:b/>
          <w:sz w:val="30"/>
        </w:rPr>
      </w:pPr>
    </w:p>
    <w:p>
      <w:pPr>
        <w:pStyle w:val="BodyText"/>
        <w:rPr>
          <w:b/>
          <w:sz w:val="30"/>
        </w:rPr>
      </w:pPr>
    </w:p>
    <w:p>
      <w:pPr>
        <w:pStyle w:val="BodyText"/>
        <w:rPr>
          <w:b/>
          <w:sz w:val="30"/>
        </w:rPr>
      </w:pPr>
    </w:p>
    <w:p>
      <w:pPr>
        <w:pStyle w:val="BodyText"/>
        <w:rPr>
          <w:b/>
          <w:sz w:val="30"/>
        </w:rPr>
      </w:pPr>
    </w:p>
    <w:p>
      <w:pPr>
        <w:spacing w:before="230"/>
        <w:ind w:left="110" w:right="0" w:firstLine="0"/>
        <w:jc w:val="left"/>
        <w:rPr>
          <w:b/>
          <w:sz w:val="28"/>
        </w:rPr>
      </w:pPr>
      <w:r>
        <w:rPr>
          <w:b/>
          <w:sz w:val="28"/>
        </w:rPr>
        <w:t>January 2017</w:t>
      </w:r>
    </w:p>
    <w:p>
      <w:pPr>
        <w:pStyle w:val="BodyText"/>
        <w:rPr>
          <w:b/>
          <w:sz w:val="20"/>
        </w:rPr>
      </w:pPr>
    </w:p>
    <w:p>
      <w:pPr>
        <w:pStyle w:val="BodyText"/>
        <w:rPr>
          <w:b/>
          <w:sz w:val="20"/>
        </w:rPr>
      </w:pPr>
    </w:p>
    <w:p>
      <w:pPr>
        <w:pStyle w:val="BodyText"/>
        <w:rPr>
          <w:b/>
          <w:sz w:val="20"/>
        </w:rPr>
      </w:pPr>
    </w:p>
    <w:p>
      <w:pPr>
        <w:pStyle w:val="BodyText"/>
        <w:spacing w:before="7"/>
        <w:rPr>
          <w:b/>
          <w:sz w:val="20"/>
        </w:rPr>
      </w:pPr>
      <w:r>
        <w:rPr/>
        <w:drawing>
          <wp:anchor distT="0" distB="0" distL="0" distR="0" allowOverlap="1" layoutInCell="1" locked="0" behindDoc="0" simplePos="0" relativeHeight="0">
            <wp:simplePos x="0" y="0"/>
            <wp:positionH relativeFrom="page">
              <wp:posOffset>1015364</wp:posOffset>
            </wp:positionH>
            <wp:positionV relativeFrom="paragraph">
              <wp:posOffset>242070</wp:posOffset>
            </wp:positionV>
            <wp:extent cx="477119" cy="51454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77119" cy="514540"/>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5130165</wp:posOffset>
            </wp:positionH>
            <wp:positionV relativeFrom="paragraph">
              <wp:posOffset>175395</wp:posOffset>
            </wp:positionV>
            <wp:extent cx="844252" cy="581596"/>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844252" cy="581596"/>
                    </a:xfrm>
                    <a:prstGeom prst="rect">
                      <a:avLst/>
                    </a:prstGeom>
                  </pic:spPr>
                </pic:pic>
              </a:graphicData>
            </a:graphic>
          </wp:anchor>
        </w:drawing>
      </w:r>
    </w:p>
    <w:p>
      <w:pPr>
        <w:spacing w:after="0"/>
        <w:rPr>
          <w:sz w:val="20"/>
        </w:rPr>
        <w:sectPr>
          <w:headerReference w:type="default" r:id="rId5"/>
          <w:type w:val="continuous"/>
          <w:pgSz w:w="11910" w:h="17340"/>
          <w:pgMar w:header="759" w:top="940" w:bottom="280" w:left="1460" w:right="1140"/>
        </w:sectPr>
      </w:pPr>
    </w:p>
    <w:p>
      <w:pPr>
        <w:pStyle w:val="BodyText"/>
        <w:spacing w:before="6"/>
        <w:rPr>
          <w:b/>
          <w:sz w:val="15"/>
        </w:rPr>
      </w:pPr>
    </w:p>
    <w:p>
      <w:pPr>
        <w:spacing w:before="92"/>
        <w:ind w:left="110" w:right="0" w:firstLine="0"/>
        <w:jc w:val="left"/>
        <w:rPr>
          <w:b/>
          <w:sz w:val="28"/>
        </w:rPr>
      </w:pPr>
      <w:r>
        <w:rPr>
          <w:b/>
          <w:sz w:val="28"/>
        </w:rPr>
        <w:t>Acknowledgements</w:t>
      </w:r>
    </w:p>
    <w:p>
      <w:pPr>
        <w:pStyle w:val="BodyText"/>
        <w:rPr>
          <w:b/>
          <w:sz w:val="28"/>
        </w:rPr>
      </w:pPr>
    </w:p>
    <w:p>
      <w:pPr>
        <w:pStyle w:val="BodyText"/>
        <w:spacing w:line="360" w:lineRule="auto" w:before="1"/>
        <w:ind w:left="110" w:right="95"/>
      </w:pPr>
      <w:r>
        <w:rPr/>
        <w:t>Thank you to all those who took part in this survey by taking the time to complete and return the questionnaires.</w:t>
      </w:r>
    </w:p>
    <w:p>
      <w:pPr>
        <w:pStyle w:val="BodyText"/>
        <w:spacing w:before="4"/>
        <w:rPr>
          <w:sz w:val="36"/>
        </w:rPr>
      </w:pPr>
    </w:p>
    <w:p>
      <w:pPr>
        <w:pStyle w:val="BodyText"/>
        <w:spacing w:line="360" w:lineRule="auto"/>
        <w:ind w:left="110" w:right="695"/>
      </w:pPr>
      <w:r>
        <w:rPr/>
        <w:t>Gratitude is also extended to those who helped identify community and sporting premises within the county and piloted the initial questionnaire:</w:t>
      </w:r>
    </w:p>
    <w:p>
      <w:pPr>
        <w:pStyle w:val="BodyText"/>
        <w:spacing w:before="3"/>
        <w:rPr>
          <w:sz w:val="36"/>
        </w:rPr>
      </w:pPr>
    </w:p>
    <w:p>
      <w:pPr>
        <w:pStyle w:val="ListParagraph"/>
        <w:numPr>
          <w:ilvl w:val="0"/>
          <w:numId w:val="1"/>
        </w:numPr>
        <w:tabs>
          <w:tab w:pos="829" w:val="left" w:leader="none"/>
          <w:tab w:pos="830" w:val="left" w:leader="none"/>
        </w:tabs>
        <w:spacing w:line="240" w:lineRule="auto" w:before="1" w:after="0"/>
        <w:ind w:left="830" w:right="0" w:hanging="360"/>
        <w:jc w:val="left"/>
        <w:rPr>
          <w:sz w:val="24"/>
        </w:rPr>
      </w:pPr>
      <w:r>
        <w:rPr>
          <w:sz w:val="24"/>
        </w:rPr>
        <w:t>Una Traynor, Breffni</w:t>
      </w:r>
      <w:r>
        <w:rPr>
          <w:spacing w:val="-8"/>
          <w:sz w:val="24"/>
        </w:rPr>
        <w:t> </w:t>
      </w:r>
      <w:r>
        <w:rPr>
          <w:sz w:val="24"/>
        </w:rPr>
        <w:t>Integrated</w:t>
      </w:r>
    </w:p>
    <w:p>
      <w:pPr>
        <w:pStyle w:val="ListParagraph"/>
        <w:numPr>
          <w:ilvl w:val="0"/>
          <w:numId w:val="1"/>
        </w:numPr>
        <w:tabs>
          <w:tab w:pos="829" w:val="left" w:leader="none"/>
          <w:tab w:pos="830" w:val="left" w:leader="none"/>
        </w:tabs>
        <w:spacing w:line="240" w:lineRule="auto" w:before="137" w:after="0"/>
        <w:ind w:left="830" w:right="0" w:hanging="360"/>
        <w:jc w:val="left"/>
        <w:rPr>
          <w:sz w:val="24"/>
        </w:rPr>
      </w:pPr>
      <w:r>
        <w:rPr>
          <w:sz w:val="24"/>
        </w:rPr>
        <w:t>Sandy Holland, Breffni</w:t>
      </w:r>
      <w:r>
        <w:rPr>
          <w:spacing w:val="-10"/>
          <w:sz w:val="24"/>
        </w:rPr>
        <w:t> </w:t>
      </w:r>
      <w:r>
        <w:rPr>
          <w:sz w:val="24"/>
        </w:rPr>
        <w:t>Integrated</w:t>
      </w:r>
    </w:p>
    <w:p>
      <w:pPr>
        <w:pStyle w:val="ListParagraph"/>
        <w:numPr>
          <w:ilvl w:val="0"/>
          <w:numId w:val="1"/>
        </w:numPr>
        <w:tabs>
          <w:tab w:pos="829" w:val="left" w:leader="none"/>
          <w:tab w:pos="830" w:val="left" w:leader="none"/>
        </w:tabs>
        <w:spacing w:line="240" w:lineRule="auto" w:before="138" w:after="0"/>
        <w:ind w:left="830" w:right="0" w:hanging="360"/>
        <w:jc w:val="left"/>
        <w:rPr>
          <w:sz w:val="24"/>
        </w:rPr>
      </w:pPr>
      <w:r>
        <w:rPr>
          <w:sz w:val="24"/>
        </w:rPr>
        <w:t>Angie Mc Kenna, Killeshandra Focus</w:t>
      </w:r>
      <w:r>
        <w:rPr>
          <w:spacing w:val="-11"/>
          <w:sz w:val="24"/>
        </w:rPr>
        <w:t> </w:t>
      </w:r>
      <w:r>
        <w:rPr>
          <w:sz w:val="24"/>
        </w:rPr>
        <w:t>FRC</w:t>
      </w:r>
    </w:p>
    <w:p>
      <w:pPr>
        <w:pStyle w:val="ListParagraph"/>
        <w:numPr>
          <w:ilvl w:val="0"/>
          <w:numId w:val="1"/>
        </w:numPr>
        <w:tabs>
          <w:tab w:pos="829" w:val="left" w:leader="none"/>
          <w:tab w:pos="830" w:val="left" w:leader="none"/>
        </w:tabs>
        <w:spacing w:line="240" w:lineRule="auto" w:before="136" w:after="0"/>
        <w:ind w:left="830" w:right="0" w:hanging="360"/>
        <w:jc w:val="left"/>
        <w:rPr>
          <w:sz w:val="24"/>
        </w:rPr>
      </w:pPr>
      <w:r>
        <w:rPr>
          <w:sz w:val="24"/>
        </w:rPr>
        <w:t>Bernie Brady, Tullacmongan</w:t>
      </w:r>
      <w:r>
        <w:rPr>
          <w:spacing w:val="-6"/>
          <w:sz w:val="24"/>
        </w:rPr>
        <w:t> </w:t>
      </w:r>
      <w:r>
        <w:rPr>
          <w:sz w:val="24"/>
        </w:rPr>
        <w:t>FRC</w:t>
      </w:r>
    </w:p>
    <w:p>
      <w:pPr>
        <w:pStyle w:val="ListParagraph"/>
        <w:numPr>
          <w:ilvl w:val="0"/>
          <w:numId w:val="1"/>
        </w:numPr>
        <w:tabs>
          <w:tab w:pos="829" w:val="left" w:leader="none"/>
          <w:tab w:pos="830" w:val="left" w:leader="none"/>
        </w:tabs>
        <w:spacing w:line="240" w:lineRule="auto" w:before="139" w:after="0"/>
        <w:ind w:left="830" w:right="0" w:hanging="360"/>
        <w:jc w:val="left"/>
        <w:rPr>
          <w:sz w:val="24"/>
        </w:rPr>
      </w:pPr>
      <w:r>
        <w:rPr>
          <w:sz w:val="24"/>
        </w:rPr>
        <w:t>Bob Gilbert / Daniel Downey, Public Partnership</w:t>
      </w:r>
      <w:r>
        <w:rPr>
          <w:spacing w:val="-16"/>
          <w:sz w:val="24"/>
        </w:rPr>
        <w:t> </w:t>
      </w:r>
      <w:r>
        <w:rPr>
          <w:sz w:val="24"/>
        </w:rPr>
        <w:t>Network</w:t>
      </w:r>
    </w:p>
    <w:p>
      <w:pPr>
        <w:pStyle w:val="ListParagraph"/>
        <w:numPr>
          <w:ilvl w:val="0"/>
          <w:numId w:val="1"/>
        </w:numPr>
        <w:tabs>
          <w:tab w:pos="829" w:val="left" w:leader="none"/>
          <w:tab w:pos="830" w:val="left" w:leader="none"/>
        </w:tabs>
        <w:spacing w:line="240" w:lineRule="auto" w:before="136" w:after="0"/>
        <w:ind w:left="830" w:right="0" w:hanging="360"/>
        <w:jc w:val="left"/>
        <w:rPr>
          <w:sz w:val="24"/>
        </w:rPr>
      </w:pPr>
      <w:r>
        <w:rPr>
          <w:sz w:val="24"/>
        </w:rPr>
        <w:t>Nadine Mc Cormilla, Cavan Sports</w:t>
      </w:r>
      <w:r>
        <w:rPr>
          <w:spacing w:val="-12"/>
          <w:sz w:val="24"/>
        </w:rPr>
        <w:t> </w:t>
      </w:r>
      <w:r>
        <w:rPr>
          <w:sz w:val="24"/>
        </w:rPr>
        <w:t>Partnership</w:t>
      </w:r>
    </w:p>
    <w:p>
      <w:pPr>
        <w:spacing w:after="0" w:line="240" w:lineRule="auto"/>
        <w:jc w:val="left"/>
        <w:rPr>
          <w:sz w:val="24"/>
        </w:rPr>
        <w:sectPr>
          <w:pgSz w:w="11910" w:h="17340"/>
          <w:pgMar w:header="759" w:footer="0" w:top="940" w:bottom="280" w:left="1460" w:right="1180"/>
        </w:sectPr>
      </w:pPr>
    </w:p>
    <w:p>
      <w:pPr>
        <w:pStyle w:val="BodyText"/>
        <w:spacing w:before="6"/>
        <w:rPr>
          <w:sz w:val="15"/>
        </w:rPr>
      </w:pPr>
    </w:p>
    <w:p>
      <w:pPr>
        <w:spacing w:before="92"/>
        <w:ind w:left="110" w:right="0" w:firstLine="0"/>
        <w:jc w:val="left"/>
        <w:rPr>
          <w:b/>
          <w:sz w:val="28"/>
        </w:rPr>
      </w:pPr>
      <w:r>
        <w:rPr>
          <w:b/>
          <w:sz w:val="28"/>
        </w:rPr>
        <w:t>Executive Summary</w:t>
      </w:r>
    </w:p>
    <w:p>
      <w:pPr>
        <w:pStyle w:val="BodyText"/>
        <w:rPr>
          <w:b/>
          <w:sz w:val="28"/>
        </w:rPr>
      </w:pPr>
    </w:p>
    <w:p>
      <w:pPr>
        <w:pStyle w:val="BodyText"/>
        <w:spacing w:line="360" w:lineRule="auto" w:before="1"/>
        <w:ind w:left="110" w:right="95"/>
      </w:pPr>
      <w:r>
        <w:rPr/>
        <w:t>In November 2016, Cavan County Council commenced on completing an audit of indoor community and sports facilities within County Cavan. This was in response to a specific action contained within the Local Economic and Community Plan (LECP) 2016</w:t>
      </w:r>
    </w:p>
    <w:p>
      <w:pPr>
        <w:pStyle w:val="ListParagraph"/>
        <w:numPr>
          <w:ilvl w:val="0"/>
          <w:numId w:val="2"/>
        </w:numPr>
        <w:tabs>
          <w:tab w:pos="257" w:val="left" w:leader="none"/>
        </w:tabs>
        <w:spacing w:line="240" w:lineRule="auto" w:before="3" w:after="0"/>
        <w:ind w:left="256" w:right="0" w:hanging="146"/>
        <w:jc w:val="left"/>
        <w:rPr>
          <w:sz w:val="24"/>
        </w:rPr>
      </w:pPr>
      <w:r>
        <w:rPr>
          <w:sz w:val="24"/>
        </w:rPr>
        <w:t>2021, developed by the Local Community Development Committee</w:t>
      </w:r>
      <w:r>
        <w:rPr>
          <w:spacing w:val="-19"/>
          <w:sz w:val="24"/>
        </w:rPr>
        <w:t> </w:t>
      </w:r>
      <w:r>
        <w:rPr>
          <w:sz w:val="24"/>
        </w:rPr>
        <w:t>(LCDC).</w:t>
      </w:r>
    </w:p>
    <w:p>
      <w:pPr>
        <w:pStyle w:val="BodyText"/>
        <w:rPr>
          <w:sz w:val="26"/>
        </w:rPr>
      </w:pPr>
    </w:p>
    <w:p>
      <w:pPr>
        <w:pStyle w:val="BodyText"/>
        <w:rPr>
          <w:sz w:val="22"/>
        </w:rPr>
      </w:pPr>
    </w:p>
    <w:p>
      <w:pPr>
        <w:pStyle w:val="BodyText"/>
        <w:spacing w:line="360" w:lineRule="auto"/>
        <w:ind w:left="110" w:right="228"/>
      </w:pPr>
      <w:r>
        <w:rPr/>
        <w:t>After widespread consultations125 community groups/organisations in ownership of a community or sports facility responded to the audit. This report sets out the findings from the audit. It examines in detail the extent of facilities available geographically but also inspects the overall management, usage and facility conditions.</w:t>
      </w:r>
    </w:p>
    <w:p>
      <w:pPr>
        <w:pStyle w:val="BodyText"/>
        <w:spacing w:before="3"/>
        <w:rPr>
          <w:sz w:val="36"/>
        </w:rPr>
      </w:pPr>
    </w:p>
    <w:p>
      <w:pPr>
        <w:pStyle w:val="BodyText"/>
        <w:spacing w:line="360" w:lineRule="auto"/>
        <w:ind w:left="110" w:right="214"/>
      </w:pPr>
      <w:r>
        <w:rPr/>
        <w:t>While this report acknowledges that this would not be a representative figure of all the community and sports facilities within the county, it provides us with a good benchmark from which to work from and draw conclusions from. The following recommendations have been put forward from the findings received:</w:t>
      </w:r>
    </w:p>
    <w:p>
      <w:pPr>
        <w:pStyle w:val="BodyText"/>
        <w:rPr>
          <w:sz w:val="26"/>
        </w:rPr>
      </w:pPr>
    </w:p>
    <w:p>
      <w:pPr>
        <w:pStyle w:val="Heading3"/>
        <w:spacing w:before="188"/>
        <w:rPr>
          <w:u w:val="none"/>
        </w:rPr>
      </w:pPr>
      <w:r>
        <w:rPr>
          <w:u w:val="none"/>
        </w:rPr>
        <w:t>Key findings &amp; recommendations</w:t>
      </w:r>
    </w:p>
    <w:p>
      <w:pPr>
        <w:pStyle w:val="BodyText"/>
        <w:rPr>
          <w:b/>
          <w:sz w:val="26"/>
        </w:rPr>
      </w:pPr>
    </w:p>
    <w:p>
      <w:pPr>
        <w:pStyle w:val="BodyText"/>
        <w:spacing w:before="5"/>
        <w:rPr>
          <w:b/>
          <w:sz w:val="23"/>
        </w:rPr>
      </w:pPr>
    </w:p>
    <w:p>
      <w:pPr>
        <w:pStyle w:val="ListParagraph"/>
        <w:numPr>
          <w:ilvl w:val="1"/>
          <w:numId w:val="2"/>
        </w:numPr>
        <w:tabs>
          <w:tab w:pos="829" w:val="left" w:leader="none"/>
          <w:tab w:pos="830" w:val="left" w:leader="none"/>
        </w:tabs>
        <w:spacing w:line="355" w:lineRule="auto" w:before="0" w:after="0"/>
        <w:ind w:left="830" w:right="262" w:hanging="360"/>
        <w:jc w:val="left"/>
        <w:rPr>
          <w:sz w:val="24"/>
        </w:rPr>
      </w:pPr>
      <w:r>
        <w:rPr>
          <w:sz w:val="24"/>
        </w:rPr>
        <w:t>The ‘Community and Sports Facility Registration Form’, (please see Appendix 14 for a sample copy), should be used on an ongoing basis to develop a comprehensive database of all such facilities within County Cavan. New and existing facilities not already captured through this audit should be</w:t>
      </w:r>
      <w:r>
        <w:rPr>
          <w:spacing w:val="-33"/>
          <w:sz w:val="24"/>
        </w:rPr>
        <w:t> </w:t>
      </w:r>
      <w:r>
        <w:rPr>
          <w:sz w:val="24"/>
        </w:rPr>
        <w:t>encouraged to complete the form in order to register their facility. Any facility applying for funding under any of the various funding programmes available within the county should also be asked to complete this form as part of the application process.</w:t>
      </w:r>
    </w:p>
    <w:p>
      <w:pPr>
        <w:pStyle w:val="ListParagraph"/>
        <w:numPr>
          <w:ilvl w:val="1"/>
          <w:numId w:val="2"/>
        </w:numPr>
        <w:tabs>
          <w:tab w:pos="829" w:val="left" w:leader="none"/>
          <w:tab w:pos="830" w:val="left" w:leader="none"/>
        </w:tabs>
        <w:spacing w:line="240" w:lineRule="auto" w:before="27" w:after="0"/>
        <w:ind w:left="830" w:right="0" w:hanging="360"/>
        <w:jc w:val="left"/>
        <w:rPr>
          <w:sz w:val="24"/>
        </w:rPr>
      </w:pPr>
      <w:r>
        <w:rPr>
          <w:sz w:val="24"/>
        </w:rPr>
        <w:t>Distribution of community and sporting facilities and populations</w:t>
      </w:r>
      <w:r>
        <w:rPr>
          <w:spacing w:val="-20"/>
          <w:sz w:val="24"/>
        </w:rPr>
        <w:t> </w:t>
      </w:r>
      <w:r>
        <w:rPr>
          <w:sz w:val="24"/>
        </w:rPr>
        <w:t>trends.</w:t>
      </w:r>
    </w:p>
    <w:p>
      <w:pPr>
        <w:pStyle w:val="ListParagraph"/>
        <w:numPr>
          <w:ilvl w:val="2"/>
          <w:numId w:val="2"/>
        </w:numPr>
        <w:tabs>
          <w:tab w:pos="1189" w:val="left" w:leader="none"/>
          <w:tab w:pos="1190" w:val="left" w:leader="none"/>
        </w:tabs>
        <w:spacing w:line="360" w:lineRule="auto" w:before="116" w:after="0"/>
        <w:ind w:left="1190" w:right="339" w:hanging="360"/>
        <w:jc w:val="left"/>
        <w:rPr>
          <w:sz w:val="24"/>
        </w:rPr>
      </w:pPr>
      <w:r>
        <w:rPr>
          <w:sz w:val="24"/>
        </w:rPr>
        <w:t>According to the findings there is a deficit of sporting facilities available within the West Cavan area as no sporting facilities were identified beyond Swanlinbar.</w:t>
      </w:r>
    </w:p>
    <w:p>
      <w:pPr>
        <w:pStyle w:val="ListParagraph"/>
        <w:numPr>
          <w:ilvl w:val="2"/>
          <w:numId w:val="2"/>
        </w:numPr>
        <w:tabs>
          <w:tab w:pos="1189" w:val="left" w:leader="none"/>
          <w:tab w:pos="1190" w:val="left" w:leader="none"/>
        </w:tabs>
        <w:spacing w:line="360" w:lineRule="auto" w:before="39" w:after="0"/>
        <w:ind w:left="1190" w:right="412" w:hanging="360"/>
        <w:jc w:val="left"/>
        <w:rPr>
          <w:sz w:val="24"/>
        </w:rPr>
      </w:pPr>
      <w:r>
        <w:rPr>
          <w:sz w:val="24"/>
        </w:rPr>
        <w:t>In terms of population growth, certain areas which have increased in population are lagging behind in terms of having suitable community and sports facilities to meet their growing needs. Particular areas of concern would include the areas surrounding the following large towns</w:t>
      </w:r>
      <w:r>
        <w:rPr>
          <w:spacing w:val="-17"/>
          <w:sz w:val="24"/>
        </w:rPr>
        <w:t> </w:t>
      </w:r>
      <w:r>
        <w:rPr>
          <w:sz w:val="24"/>
        </w:rPr>
        <w:t>Kingscourt,</w:t>
      </w:r>
    </w:p>
    <w:p>
      <w:pPr>
        <w:spacing w:after="0" w:line="360" w:lineRule="auto"/>
        <w:jc w:val="left"/>
        <w:rPr>
          <w:sz w:val="24"/>
        </w:rPr>
        <w:sectPr>
          <w:pgSz w:w="11910" w:h="17340"/>
          <w:pgMar w:header="759" w:footer="0" w:top="940" w:bottom="280" w:left="1460" w:right="1020"/>
        </w:sectPr>
      </w:pPr>
    </w:p>
    <w:p>
      <w:pPr>
        <w:pStyle w:val="BodyText"/>
        <w:spacing w:before="7"/>
        <w:rPr>
          <w:sz w:val="15"/>
        </w:rPr>
      </w:pPr>
    </w:p>
    <w:p>
      <w:pPr>
        <w:pStyle w:val="BodyText"/>
        <w:spacing w:line="360" w:lineRule="auto" w:before="92"/>
        <w:ind w:left="1190" w:right="575"/>
      </w:pPr>
      <w:r>
        <w:rPr/>
        <w:t>Ballyjamesduff, Mullagh and Virginia. These areas have all experienced significant population growth over the past few years.</w:t>
      </w:r>
    </w:p>
    <w:p>
      <w:pPr>
        <w:pStyle w:val="ListParagraph"/>
        <w:numPr>
          <w:ilvl w:val="2"/>
          <w:numId w:val="2"/>
        </w:numPr>
        <w:tabs>
          <w:tab w:pos="1189" w:val="left" w:leader="none"/>
          <w:tab w:pos="1190" w:val="left" w:leader="none"/>
        </w:tabs>
        <w:spacing w:line="360" w:lineRule="auto" w:before="4" w:after="0"/>
        <w:ind w:left="1190" w:right="257" w:hanging="360"/>
        <w:jc w:val="left"/>
        <w:rPr>
          <w:sz w:val="24"/>
        </w:rPr>
      </w:pPr>
      <w:r>
        <w:rPr>
          <w:sz w:val="24"/>
        </w:rPr>
        <w:t>There is a lack of facilities within Cavan Town to cater for the large number of sporting organisations operating</w:t>
      </w:r>
      <w:r>
        <w:rPr>
          <w:spacing w:val="-13"/>
          <w:sz w:val="24"/>
        </w:rPr>
        <w:t> </w:t>
      </w:r>
      <w:r>
        <w:rPr>
          <w:sz w:val="24"/>
        </w:rPr>
        <w:t>there.</w:t>
      </w:r>
    </w:p>
    <w:p>
      <w:pPr>
        <w:pStyle w:val="ListParagraph"/>
        <w:numPr>
          <w:ilvl w:val="2"/>
          <w:numId w:val="2"/>
        </w:numPr>
        <w:tabs>
          <w:tab w:pos="1189" w:val="left" w:leader="none"/>
          <w:tab w:pos="1190" w:val="left" w:leader="none"/>
        </w:tabs>
        <w:spacing w:line="360" w:lineRule="auto" w:before="40" w:after="0"/>
        <w:ind w:left="1190" w:right="198" w:hanging="360"/>
        <w:jc w:val="left"/>
        <w:rPr>
          <w:sz w:val="24"/>
        </w:rPr>
      </w:pPr>
      <w:r>
        <w:rPr>
          <w:sz w:val="24"/>
        </w:rPr>
        <w:t>It is recommended that intensive support is provided for community and sporting groups within these identified areas in particular to support them to tap into funding opportunities available under Sports Capital and the newly launched ‘Realising Our Potential: An Action Plan for Rural</w:t>
      </w:r>
      <w:r>
        <w:rPr>
          <w:spacing w:val="-36"/>
          <w:sz w:val="24"/>
        </w:rPr>
        <w:t> </w:t>
      </w:r>
      <w:r>
        <w:rPr>
          <w:sz w:val="24"/>
        </w:rPr>
        <w:t>Development’.</w:t>
      </w:r>
    </w:p>
    <w:p>
      <w:pPr>
        <w:pStyle w:val="ListParagraph"/>
        <w:numPr>
          <w:ilvl w:val="1"/>
          <w:numId w:val="2"/>
        </w:numPr>
        <w:tabs>
          <w:tab w:pos="829" w:val="left" w:leader="none"/>
          <w:tab w:pos="830" w:val="left" w:leader="none"/>
        </w:tabs>
        <w:spacing w:line="357" w:lineRule="auto" w:before="21" w:after="0"/>
        <w:ind w:left="830" w:right="101" w:hanging="360"/>
        <w:jc w:val="left"/>
        <w:rPr>
          <w:sz w:val="24"/>
        </w:rPr>
      </w:pPr>
      <w:r>
        <w:rPr>
          <w:sz w:val="24"/>
        </w:rPr>
        <w:t>As in many rural areas, the GAA has a large presence within the county and sporting groups are relatively well catered for under this sport. However data collected from this audit suggests there is a deficit of non GAA sporting facilities within County Cavan, specifically around sporting activities such as soccer and athletics. The Local Economic and Community Plan (LECP) identified that we have a growing youth population which will result in increased pressure to provide an outlet for our young people through sport and the appropriate facilities. A specific action within the plan states that Cavan County Council is</w:t>
      </w:r>
      <w:r>
        <w:rPr>
          <w:spacing w:val="-26"/>
          <w:sz w:val="24"/>
        </w:rPr>
        <w:t> </w:t>
      </w:r>
      <w:r>
        <w:rPr>
          <w:sz w:val="24"/>
        </w:rPr>
        <w:t>to ‘Develop a multi-purpose sports facility for the county’ and the findings from this report add weight for such a</w:t>
      </w:r>
      <w:r>
        <w:rPr>
          <w:spacing w:val="-13"/>
          <w:sz w:val="24"/>
        </w:rPr>
        <w:t> </w:t>
      </w:r>
      <w:r>
        <w:rPr>
          <w:sz w:val="24"/>
        </w:rPr>
        <w:t>need.</w:t>
      </w:r>
    </w:p>
    <w:p>
      <w:pPr>
        <w:pStyle w:val="ListParagraph"/>
        <w:numPr>
          <w:ilvl w:val="1"/>
          <w:numId w:val="2"/>
        </w:numPr>
        <w:tabs>
          <w:tab w:pos="829" w:val="left" w:leader="none"/>
          <w:tab w:pos="830" w:val="left" w:leader="none"/>
        </w:tabs>
        <w:spacing w:line="357" w:lineRule="auto" w:before="57" w:after="0"/>
        <w:ind w:left="830" w:right="161" w:hanging="360"/>
        <w:jc w:val="left"/>
        <w:rPr>
          <w:sz w:val="24"/>
        </w:rPr>
      </w:pPr>
      <w:r>
        <w:rPr>
          <w:sz w:val="24"/>
        </w:rPr>
        <w:t>Only 20 facilities are lined marked for sporting activities such as badminton, basketball, indoor soccer etc, only 36 facilities have an outdoor pitch available and only 10 facilities have an ‘All Weather Pitch’. These are very poor results reflecting the lack of sporting facilities available within the county. Given the adverse weather conditions that often occur in Ireland the availability of an all weather pitch and indoor sporting facilities are important for sporting and community organisations to have available locally. The management groups over these existing facilities should be supported to enhance the levels of sporting activities/facilities made available within their centres. The issue of health and well being is becoming an increasingly important aspect for our society and one which should be encouraged. It is recommended that Cavan Sports Partnership and other supporting organisations provide support to</w:t>
      </w:r>
      <w:r>
        <w:rPr>
          <w:spacing w:val="-22"/>
          <w:sz w:val="24"/>
        </w:rPr>
        <w:t> </w:t>
      </w:r>
      <w:r>
        <w:rPr>
          <w:sz w:val="24"/>
        </w:rPr>
        <w:t>these</w:t>
      </w:r>
    </w:p>
    <w:p>
      <w:pPr>
        <w:pStyle w:val="BodyText"/>
        <w:spacing w:line="360" w:lineRule="auto" w:before="7"/>
        <w:ind w:left="830" w:right="335"/>
      </w:pPr>
      <w:r>
        <w:rPr/>
        <w:t>groups on how to develop sporting activities and facilities. This could be done by producing information packs and resources in hard-copy and electronic versions to distribute to groups in order to support and inform them on the process. This will provide more opportunities for people to engage in various sporting activities.</w:t>
      </w:r>
    </w:p>
    <w:p>
      <w:pPr>
        <w:spacing w:after="0" w:line="360" w:lineRule="auto"/>
        <w:sectPr>
          <w:pgSz w:w="11910" w:h="17340"/>
          <w:pgMar w:header="759" w:footer="0" w:top="940" w:bottom="280" w:left="1460" w:right="1060"/>
        </w:sectPr>
      </w:pPr>
    </w:p>
    <w:p>
      <w:pPr>
        <w:pStyle w:val="BodyText"/>
        <w:rPr>
          <w:sz w:val="15"/>
        </w:rPr>
      </w:pPr>
    </w:p>
    <w:p>
      <w:pPr>
        <w:pStyle w:val="ListParagraph"/>
        <w:numPr>
          <w:ilvl w:val="1"/>
          <w:numId w:val="2"/>
        </w:numPr>
        <w:tabs>
          <w:tab w:pos="829" w:val="left" w:leader="none"/>
          <w:tab w:pos="830" w:val="left" w:leader="none"/>
        </w:tabs>
        <w:spacing w:line="357" w:lineRule="auto" w:before="116" w:after="0"/>
        <w:ind w:left="830" w:right="219" w:hanging="360"/>
        <w:jc w:val="left"/>
        <w:rPr>
          <w:sz w:val="24"/>
        </w:rPr>
      </w:pPr>
      <w:r>
        <w:rPr>
          <w:sz w:val="24"/>
        </w:rPr>
        <w:t>Due to the rural makeup of County Cavan many of the facilities are located within rural areas with limited access to public transport which prohibits people accessing them, particularly the marginalised or elderly. The Cavan Monaghan Transport Co-ordination Unit (CMTCU) has a ‘Once off Community Transport Fund’ which should be promoted to management groups over the facilities to avail of. The CMRTU have also given a commitment through the new Cavan Age Friendly Strategy 2017-2010 to explore the possibility of developing a Community Voluntary Car Scheme which could support people’s access to these facilities on more sustainable</w:t>
      </w:r>
      <w:r>
        <w:rPr>
          <w:spacing w:val="-10"/>
          <w:sz w:val="24"/>
        </w:rPr>
        <w:t> </w:t>
      </w:r>
      <w:r>
        <w:rPr>
          <w:sz w:val="24"/>
        </w:rPr>
        <w:t>basis.</w:t>
      </w:r>
    </w:p>
    <w:p>
      <w:pPr>
        <w:pStyle w:val="ListParagraph"/>
        <w:numPr>
          <w:ilvl w:val="1"/>
          <w:numId w:val="2"/>
        </w:numPr>
        <w:tabs>
          <w:tab w:pos="829" w:val="left" w:leader="none"/>
          <w:tab w:pos="830" w:val="left" w:leader="none"/>
        </w:tabs>
        <w:spacing w:line="355" w:lineRule="auto" w:before="24" w:after="0"/>
        <w:ind w:left="830" w:right="314" w:hanging="360"/>
        <w:jc w:val="left"/>
        <w:rPr>
          <w:sz w:val="24"/>
        </w:rPr>
      </w:pPr>
      <w:r>
        <w:rPr>
          <w:sz w:val="24"/>
        </w:rPr>
        <w:t>Only 50 facilities have access to broadband. The provision of broadband is an issue across the county and would be an important aspect of running any modern facility. There is currently a new Digital Strategy being developed for County Cavan, this along with the roll out of the National Broadband Plan and other Government Initiatives will enable communities across the county, particularly in rural areas to avail of high speed</w:t>
      </w:r>
      <w:r>
        <w:rPr>
          <w:spacing w:val="-19"/>
          <w:sz w:val="24"/>
        </w:rPr>
        <w:t> </w:t>
      </w:r>
      <w:r>
        <w:rPr>
          <w:sz w:val="24"/>
        </w:rPr>
        <w:t>broadband.</w:t>
      </w:r>
    </w:p>
    <w:p>
      <w:pPr>
        <w:pStyle w:val="ListParagraph"/>
        <w:numPr>
          <w:ilvl w:val="1"/>
          <w:numId w:val="2"/>
        </w:numPr>
        <w:tabs>
          <w:tab w:pos="829" w:val="left" w:leader="none"/>
          <w:tab w:pos="830" w:val="left" w:leader="none"/>
        </w:tabs>
        <w:spacing w:line="352" w:lineRule="auto" w:before="24" w:after="0"/>
        <w:ind w:left="830" w:right="130" w:hanging="360"/>
        <w:jc w:val="left"/>
        <w:rPr>
          <w:sz w:val="24"/>
        </w:rPr>
      </w:pPr>
      <w:r>
        <w:rPr>
          <w:sz w:val="24"/>
        </w:rPr>
        <w:t>There is a large reliance on voluntary staff members or the various community employment schemes to run the facilities, which would be expected. However to support this and perhaps improve the reliability and sustainability of obtaining dedicated committed volunteers for the facilities, the services of the newly established Volunteer Information Service should be availed</w:t>
      </w:r>
      <w:r>
        <w:rPr>
          <w:spacing w:val="-27"/>
          <w:sz w:val="24"/>
        </w:rPr>
        <w:t> </w:t>
      </w:r>
      <w:r>
        <w:rPr>
          <w:sz w:val="24"/>
        </w:rPr>
        <w:t>of.</w:t>
      </w:r>
    </w:p>
    <w:p>
      <w:pPr>
        <w:pStyle w:val="ListParagraph"/>
        <w:numPr>
          <w:ilvl w:val="1"/>
          <w:numId w:val="2"/>
        </w:numPr>
        <w:tabs>
          <w:tab w:pos="829" w:val="left" w:leader="none"/>
          <w:tab w:pos="830" w:val="left" w:leader="none"/>
        </w:tabs>
        <w:spacing w:line="352" w:lineRule="auto" w:before="29" w:after="0"/>
        <w:ind w:left="830" w:right="338" w:hanging="360"/>
        <w:jc w:val="left"/>
        <w:rPr>
          <w:sz w:val="24"/>
        </w:rPr>
      </w:pPr>
      <w:r>
        <w:rPr>
          <w:sz w:val="24"/>
        </w:rPr>
        <w:t>Almost all of the facilities (97%) have ‘Public Liability’ insurance, but few had cover for other important areas such as ‘Burglary Cover’, ‘Property Damage Cover’ or ‘Member to Member Liability’. Group insurance schemes may be an option for facilities to explore further, possibly assisted by the Cavan Public Participation Network</w:t>
      </w:r>
      <w:r>
        <w:rPr>
          <w:spacing w:val="-8"/>
          <w:sz w:val="24"/>
        </w:rPr>
        <w:t> </w:t>
      </w:r>
      <w:r>
        <w:rPr>
          <w:sz w:val="24"/>
        </w:rPr>
        <w:t>(PPN).</w:t>
      </w:r>
    </w:p>
    <w:p>
      <w:pPr>
        <w:pStyle w:val="ListParagraph"/>
        <w:numPr>
          <w:ilvl w:val="1"/>
          <w:numId w:val="2"/>
        </w:numPr>
        <w:tabs>
          <w:tab w:pos="829" w:val="left" w:leader="none"/>
          <w:tab w:pos="830" w:val="left" w:leader="none"/>
        </w:tabs>
        <w:spacing w:line="352" w:lineRule="auto" w:before="29" w:after="0"/>
        <w:ind w:left="830" w:right="127" w:hanging="360"/>
        <w:jc w:val="left"/>
        <w:rPr>
          <w:sz w:val="24"/>
        </w:rPr>
      </w:pPr>
      <w:r>
        <w:rPr>
          <w:sz w:val="24"/>
        </w:rPr>
        <w:t>Up to 69% of funding received by the facilities was reported as being self- generated through fundraising activities suggesting that the facilities are largely self-sufficient. However very few facilities replied that they apply for grant aid as a means to generate funds. If facilities are to develop and grow, rather than merely maintain current operations, investment in grant schemes is</w:t>
      </w:r>
      <w:r>
        <w:rPr>
          <w:spacing w:val="-26"/>
          <w:sz w:val="24"/>
        </w:rPr>
        <w:t> </w:t>
      </w:r>
      <w:r>
        <w:rPr>
          <w:sz w:val="24"/>
        </w:rPr>
        <w:t>needed.</w:t>
      </w:r>
    </w:p>
    <w:p>
      <w:pPr>
        <w:pStyle w:val="ListParagraph"/>
        <w:numPr>
          <w:ilvl w:val="1"/>
          <w:numId w:val="2"/>
        </w:numPr>
        <w:tabs>
          <w:tab w:pos="829" w:val="left" w:leader="none"/>
          <w:tab w:pos="830" w:val="left" w:leader="none"/>
        </w:tabs>
        <w:spacing w:line="352" w:lineRule="auto" w:before="29" w:after="0"/>
        <w:ind w:left="830" w:right="111" w:hanging="360"/>
        <w:jc w:val="left"/>
        <w:rPr>
          <w:sz w:val="24"/>
        </w:rPr>
      </w:pPr>
      <w:r>
        <w:rPr>
          <w:sz w:val="24"/>
        </w:rPr>
        <w:t>The facilities are doing reasonably well in terms of having the appropriate Health &amp; Safety procedures in place for their premises. However there is room for improvement. For example, only 71% of facilities reported that they have a Fire Certificate for their premises, this is a necessary requirement for any</w:t>
      </w:r>
      <w:r>
        <w:rPr>
          <w:spacing w:val="-31"/>
          <w:sz w:val="24"/>
        </w:rPr>
        <w:t> </w:t>
      </w:r>
      <w:r>
        <w:rPr>
          <w:sz w:val="24"/>
        </w:rPr>
        <w:t>facility to have once operating as a public</w:t>
      </w:r>
      <w:r>
        <w:rPr>
          <w:spacing w:val="-13"/>
          <w:sz w:val="24"/>
        </w:rPr>
        <w:t> </w:t>
      </w:r>
      <w:r>
        <w:rPr>
          <w:sz w:val="24"/>
        </w:rPr>
        <w:t>building.</w:t>
      </w:r>
    </w:p>
    <w:p>
      <w:pPr>
        <w:spacing w:after="0" w:line="352" w:lineRule="auto"/>
        <w:jc w:val="left"/>
        <w:rPr>
          <w:sz w:val="24"/>
        </w:rPr>
        <w:sectPr>
          <w:pgSz w:w="11910" w:h="17340"/>
          <w:pgMar w:header="759" w:footer="0" w:top="940" w:bottom="280" w:left="1460" w:right="1040"/>
        </w:sectPr>
      </w:pPr>
    </w:p>
    <w:p>
      <w:pPr>
        <w:pStyle w:val="BodyText"/>
        <w:rPr>
          <w:sz w:val="15"/>
        </w:rPr>
      </w:pPr>
    </w:p>
    <w:p>
      <w:pPr>
        <w:pStyle w:val="ListParagraph"/>
        <w:numPr>
          <w:ilvl w:val="1"/>
          <w:numId w:val="2"/>
        </w:numPr>
        <w:tabs>
          <w:tab w:pos="829" w:val="left" w:leader="none"/>
          <w:tab w:pos="830" w:val="left" w:leader="none"/>
        </w:tabs>
        <w:spacing w:line="350" w:lineRule="auto" w:before="116" w:after="0"/>
        <w:ind w:left="830" w:right="133" w:hanging="360"/>
        <w:jc w:val="left"/>
        <w:rPr>
          <w:sz w:val="24"/>
        </w:rPr>
      </w:pPr>
      <w:r>
        <w:rPr>
          <w:sz w:val="24"/>
        </w:rPr>
        <w:t>Up to 90 facilities reported that they would like to participate in Community Development Training. The delivery of this training is a specific action within the LECP, with Breffni Integrated leading out on it. Such training should specifically target these groups</w:t>
      </w:r>
      <w:r>
        <w:rPr>
          <w:spacing w:val="-10"/>
          <w:sz w:val="24"/>
        </w:rPr>
        <w:t> </w:t>
      </w:r>
      <w:r>
        <w:rPr>
          <w:sz w:val="24"/>
        </w:rPr>
        <w:t>identified.</w:t>
      </w:r>
    </w:p>
    <w:p>
      <w:pPr>
        <w:pStyle w:val="ListParagraph"/>
        <w:numPr>
          <w:ilvl w:val="1"/>
          <w:numId w:val="2"/>
        </w:numPr>
        <w:tabs>
          <w:tab w:pos="829" w:val="left" w:leader="none"/>
          <w:tab w:pos="830" w:val="left" w:leader="none"/>
        </w:tabs>
        <w:spacing w:line="352" w:lineRule="auto" w:before="29" w:after="0"/>
        <w:ind w:left="830" w:right="155" w:hanging="360"/>
        <w:jc w:val="left"/>
        <w:rPr>
          <w:sz w:val="24"/>
        </w:rPr>
      </w:pPr>
      <w:r>
        <w:rPr>
          <w:sz w:val="24"/>
        </w:rPr>
        <w:t>Only 12 facilities reported that they had a computer suite which can be used for training purposes. Equipping community centres with up to date information technology hardware and software is essential in reducing the digital divide and again could be something which can be addressed through the County Digital Strategy.</w:t>
      </w:r>
    </w:p>
    <w:p>
      <w:pPr>
        <w:pStyle w:val="ListParagraph"/>
        <w:numPr>
          <w:ilvl w:val="1"/>
          <w:numId w:val="2"/>
        </w:numPr>
        <w:tabs>
          <w:tab w:pos="829" w:val="left" w:leader="none"/>
          <w:tab w:pos="830" w:val="left" w:leader="none"/>
        </w:tabs>
        <w:spacing w:line="355" w:lineRule="auto" w:before="27" w:after="0"/>
        <w:ind w:left="830" w:right="100" w:hanging="360"/>
        <w:jc w:val="left"/>
        <w:rPr>
          <w:sz w:val="24"/>
        </w:rPr>
      </w:pPr>
      <w:r>
        <w:rPr>
          <w:sz w:val="24"/>
        </w:rPr>
        <w:t>Space can be an issue for many of the facilities based within urban areas, with many having limited availability to meet the demands for their use, or in other cases, facilities do not have the sufficient room size available to cater for larger groups. As identified within the LECP there is a need for a new community hub to be developed within walking distance of Cavan Town, this presents itself as a reoccurring issue under various local consultations carried out. Other urban areas highlighted through this audit would include Ballyconnell and Ballyjamesduff.</w:t>
      </w:r>
    </w:p>
    <w:p>
      <w:pPr>
        <w:pStyle w:val="ListParagraph"/>
        <w:numPr>
          <w:ilvl w:val="1"/>
          <w:numId w:val="2"/>
        </w:numPr>
        <w:tabs>
          <w:tab w:pos="829" w:val="left" w:leader="none"/>
          <w:tab w:pos="830" w:val="left" w:leader="none"/>
        </w:tabs>
        <w:spacing w:line="355" w:lineRule="auto" w:before="25" w:after="0"/>
        <w:ind w:left="830" w:right="396" w:hanging="360"/>
        <w:jc w:val="left"/>
        <w:rPr>
          <w:sz w:val="24"/>
        </w:rPr>
      </w:pPr>
      <w:r>
        <w:rPr>
          <w:sz w:val="24"/>
        </w:rPr>
        <w:t>Many facilities would have been newly built between 2001 and 2016 (33%), followed by 25% of the facilities being built pre-1900. However the majority of these older facilities would have had refurbishments works carried out. As a result of the high number of new builds and newly refurbished premises, the majority of facilities (86%) report that they were in either excellent or good condition.</w:t>
      </w:r>
    </w:p>
    <w:p>
      <w:pPr>
        <w:pStyle w:val="ListParagraph"/>
        <w:numPr>
          <w:ilvl w:val="1"/>
          <w:numId w:val="2"/>
        </w:numPr>
        <w:tabs>
          <w:tab w:pos="829" w:val="left" w:leader="none"/>
          <w:tab w:pos="830" w:val="left" w:leader="none"/>
        </w:tabs>
        <w:spacing w:line="357" w:lineRule="auto" w:before="27" w:after="0"/>
        <w:ind w:left="830" w:right="128" w:hanging="360"/>
        <w:jc w:val="left"/>
        <w:rPr>
          <w:sz w:val="24"/>
        </w:rPr>
      </w:pPr>
      <w:r>
        <w:rPr>
          <w:sz w:val="24"/>
        </w:rPr>
        <w:t>The majority of facilities are open to the ‘general community’ to use. However more support needs to be provided to management groups over the facilities to advice on the development of equal usage policies and how to monitor the diversity of people using their facility. Active promotion within this area would help to ensure increased usage of the facilities by the young, unemployed, ethnic minorities, LGBT, disabled people etc. Also being able to demonstrate usage of their facilities by such target groups would also benefit the facilities in applying for funding support as supporting socially excluded groups is a funding requirement under many of the current funding sources currently</w:t>
      </w:r>
      <w:r>
        <w:rPr>
          <w:spacing w:val="-23"/>
          <w:sz w:val="24"/>
        </w:rPr>
        <w:t> </w:t>
      </w:r>
      <w:r>
        <w:rPr>
          <w:sz w:val="24"/>
        </w:rPr>
        <w:t>available.</w:t>
      </w:r>
    </w:p>
    <w:p>
      <w:pPr>
        <w:pStyle w:val="ListParagraph"/>
        <w:numPr>
          <w:ilvl w:val="1"/>
          <w:numId w:val="2"/>
        </w:numPr>
        <w:tabs>
          <w:tab w:pos="829" w:val="left" w:leader="none"/>
          <w:tab w:pos="830" w:val="left" w:leader="none"/>
        </w:tabs>
        <w:spacing w:line="333" w:lineRule="auto" w:before="24" w:after="0"/>
        <w:ind w:left="830" w:right="1155" w:hanging="360"/>
        <w:jc w:val="left"/>
        <w:rPr>
          <w:sz w:val="24"/>
        </w:rPr>
      </w:pPr>
      <w:r>
        <w:rPr>
          <w:sz w:val="24"/>
        </w:rPr>
        <w:t>85% of the facilities reported that they were wheelchair accessible. To strengthen this area</w:t>
      </w:r>
      <w:r>
        <w:rPr>
          <w:spacing w:val="-5"/>
          <w:sz w:val="24"/>
        </w:rPr>
        <w:t> </w:t>
      </w:r>
      <w:r>
        <w:rPr>
          <w:sz w:val="24"/>
        </w:rPr>
        <w:t>further</w:t>
      </w:r>
    </w:p>
    <w:p>
      <w:pPr>
        <w:spacing w:after="0" w:line="333" w:lineRule="auto"/>
        <w:jc w:val="left"/>
        <w:rPr>
          <w:sz w:val="24"/>
        </w:rPr>
        <w:sectPr>
          <w:pgSz w:w="11910" w:h="17340"/>
          <w:pgMar w:header="759" w:footer="0" w:top="940" w:bottom="280" w:left="1460" w:right="1040"/>
        </w:sectPr>
      </w:pPr>
    </w:p>
    <w:p>
      <w:pPr>
        <w:pStyle w:val="BodyText"/>
        <w:spacing w:before="7"/>
        <w:rPr>
          <w:sz w:val="15"/>
        </w:rPr>
      </w:pPr>
    </w:p>
    <w:p>
      <w:pPr>
        <w:pStyle w:val="ListParagraph"/>
        <w:numPr>
          <w:ilvl w:val="2"/>
          <w:numId w:val="2"/>
        </w:numPr>
        <w:tabs>
          <w:tab w:pos="1190" w:val="left" w:leader="none"/>
        </w:tabs>
        <w:spacing w:line="360" w:lineRule="auto" w:before="92" w:after="0"/>
        <w:ind w:left="1190" w:right="208" w:hanging="360"/>
        <w:jc w:val="both"/>
        <w:rPr>
          <w:sz w:val="24"/>
        </w:rPr>
      </w:pPr>
      <w:r>
        <w:rPr>
          <w:sz w:val="24"/>
        </w:rPr>
        <w:t>The Age Friendly Business Programme, an action contained within the new Cavan Age Friendly Strategy, should also be made available for community &amp; sporting facilities to participate</w:t>
      </w:r>
      <w:r>
        <w:rPr>
          <w:spacing w:val="-10"/>
          <w:sz w:val="24"/>
        </w:rPr>
        <w:t> </w:t>
      </w:r>
      <w:r>
        <w:rPr>
          <w:sz w:val="24"/>
        </w:rPr>
        <w:t>on.</w:t>
      </w:r>
    </w:p>
    <w:p>
      <w:pPr>
        <w:pStyle w:val="ListParagraph"/>
        <w:numPr>
          <w:ilvl w:val="2"/>
          <w:numId w:val="2"/>
        </w:numPr>
        <w:tabs>
          <w:tab w:pos="1189" w:val="left" w:leader="none"/>
          <w:tab w:pos="1190" w:val="left" w:leader="none"/>
        </w:tabs>
        <w:spacing w:line="360" w:lineRule="auto" w:before="2" w:after="0"/>
        <w:ind w:left="1190" w:right="106" w:hanging="360"/>
        <w:jc w:val="left"/>
        <w:rPr>
          <w:sz w:val="24"/>
        </w:rPr>
      </w:pPr>
      <w:r>
        <w:rPr>
          <w:sz w:val="24"/>
        </w:rPr>
        <w:t>Cavan County Council’s Access Officer would also be able to provide advice and assistance to facilities on how to improve accessibility and this should be looked at in conjunction with the Walkability Audits which will be conducted through the Town Teams</w:t>
      </w:r>
      <w:r>
        <w:rPr>
          <w:spacing w:val="-22"/>
          <w:sz w:val="24"/>
        </w:rPr>
        <w:t> </w:t>
      </w:r>
      <w:r>
        <w:rPr>
          <w:sz w:val="24"/>
        </w:rPr>
        <w:t>Initiative.</w:t>
      </w:r>
    </w:p>
    <w:p>
      <w:pPr>
        <w:pStyle w:val="ListParagraph"/>
        <w:numPr>
          <w:ilvl w:val="2"/>
          <w:numId w:val="2"/>
        </w:numPr>
        <w:tabs>
          <w:tab w:pos="1189" w:val="left" w:leader="none"/>
          <w:tab w:pos="1190" w:val="left" w:leader="none"/>
        </w:tabs>
        <w:spacing w:line="360" w:lineRule="auto" w:before="2" w:after="0"/>
        <w:ind w:left="1190" w:right="474" w:hanging="360"/>
        <w:jc w:val="left"/>
        <w:rPr>
          <w:sz w:val="24"/>
        </w:rPr>
      </w:pPr>
      <w:r>
        <w:rPr>
          <w:sz w:val="24"/>
        </w:rPr>
        <w:t>The Disabled Go Access Audit should also include community &amp; sporting facilities.</w:t>
      </w:r>
    </w:p>
    <w:p>
      <w:pPr>
        <w:spacing w:after="0" w:line="360" w:lineRule="auto"/>
        <w:jc w:val="left"/>
        <w:rPr>
          <w:sz w:val="24"/>
        </w:rPr>
        <w:sectPr>
          <w:pgSz w:w="11910" w:h="17340"/>
          <w:pgMar w:header="759" w:footer="0" w:top="940" w:bottom="280" w:left="1460" w:right="1040"/>
        </w:sectPr>
      </w:pPr>
    </w:p>
    <w:p>
      <w:pPr>
        <w:pStyle w:val="BodyText"/>
        <w:spacing w:before="7"/>
        <w:rPr>
          <w:sz w:val="15"/>
        </w:rPr>
      </w:pPr>
    </w:p>
    <w:p>
      <w:pPr>
        <w:pStyle w:val="Heading2"/>
        <w:tabs>
          <w:tab w:pos="7331" w:val="left" w:leader="none"/>
        </w:tabs>
        <w:ind w:left="130"/>
      </w:pPr>
      <w:r>
        <w:rPr/>
        <w:pict>
          <v:line style="position:absolute;mso-position-horizontal-relative:page;mso-position-vertical-relative:paragraph;z-index:-94552" from="78.503998pt,21.977816pt" to="507.123998pt,21.977816pt" stroked="true" strokeweight="1.68pt" strokecolor="#000000">
            <v:stroke dashstyle="solid"/>
            <w10:wrap type="none"/>
          </v:line>
        </w:pict>
      </w:r>
      <w:r>
        <w:rPr/>
        <w:t>Contents</w:t>
        <w:tab/>
        <w:t>Page</w:t>
      </w:r>
      <w:r>
        <w:rPr>
          <w:spacing w:val="-3"/>
        </w:rPr>
        <w:t> </w:t>
      </w:r>
      <w:r>
        <w:rPr/>
        <w:t>No.</w:t>
      </w:r>
    </w:p>
    <w:p>
      <w:pPr>
        <w:pStyle w:val="BodyText"/>
        <w:rPr>
          <w:b/>
          <w:sz w:val="20"/>
        </w:rPr>
      </w:pPr>
    </w:p>
    <w:p>
      <w:pPr>
        <w:pStyle w:val="BodyText"/>
        <w:rPr>
          <w:b/>
          <w:sz w:val="20"/>
        </w:rPr>
      </w:pPr>
    </w:p>
    <w:sdt>
      <w:sdtPr>
        <w:docPartObj>
          <w:docPartGallery w:val="Table of Contents"/>
          <w:docPartUnique/>
        </w:docPartObj>
      </w:sdtPr>
      <w:sdtEndPr/>
      <w:sdtContent>
        <w:p>
          <w:pPr>
            <w:pStyle w:val="TOC1"/>
            <w:tabs>
              <w:tab w:pos="8013" w:val="left" w:leader="dot"/>
            </w:tabs>
            <w:spacing w:before="230"/>
          </w:pPr>
          <w:r>
            <w:fldChar w:fldCharType="begin"/>
          </w:r>
          <w:r>
            <w:instrText>TOC \o "1-1" \h \z \u </w:instrText>
          </w:r>
          <w:r>
            <w:fldChar w:fldCharType="separate"/>
          </w:r>
          <w:hyperlink w:history="true" w:anchor="_TOC_250005">
            <w:r>
              <w:rPr/>
              <w:t>Section</w:t>
            </w:r>
            <w:r>
              <w:rPr>
                <w:spacing w:val="-1"/>
              </w:rPr>
              <w:t> </w:t>
            </w:r>
            <w:r>
              <w:rPr/>
              <w:t>1:</w:t>
            </w:r>
            <w:r>
              <w:rPr>
                <w:spacing w:val="-1"/>
              </w:rPr>
              <w:t> </w:t>
            </w:r>
            <w:r>
              <w:rPr/>
              <w:t>Introduction</w:t>
              <w:tab/>
              <w:t>1</w:t>
            </w:r>
          </w:hyperlink>
        </w:p>
        <w:p>
          <w:pPr>
            <w:pStyle w:val="TOC1"/>
            <w:tabs>
              <w:tab w:pos="8027" w:val="left" w:leader="dot"/>
            </w:tabs>
            <w:spacing w:before="138"/>
          </w:pPr>
          <w:hyperlink w:history="true" w:anchor="_TOC_250004">
            <w:r>
              <w:rPr/>
              <w:t>Section 2: Baseline</w:t>
            </w:r>
            <w:r>
              <w:rPr>
                <w:spacing w:val="-2"/>
              </w:rPr>
              <w:t> </w:t>
            </w:r>
            <w:r>
              <w:rPr/>
              <w:t>Population</w:t>
            </w:r>
            <w:r>
              <w:rPr>
                <w:spacing w:val="-2"/>
              </w:rPr>
              <w:t> </w:t>
            </w:r>
            <w:r>
              <w:rPr/>
              <w:t>Data</w:t>
              <w:tab/>
              <w:t>3</w:t>
            </w:r>
          </w:hyperlink>
        </w:p>
        <w:p>
          <w:pPr>
            <w:pStyle w:val="TOC1"/>
            <w:tabs>
              <w:tab w:pos="8039" w:val="left" w:leader="dot"/>
            </w:tabs>
            <w:spacing w:before="136"/>
          </w:pPr>
          <w:hyperlink w:history="true" w:anchor="_TOC_250003">
            <w:r>
              <w:rPr/>
              <w:t>Section</w:t>
            </w:r>
            <w:r>
              <w:rPr>
                <w:spacing w:val="-2"/>
              </w:rPr>
              <w:t> </w:t>
            </w:r>
            <w:r>
              <w:rPr/>
              <w:t>3: Methodology</w:t>
              <w:tab/>
              <w:t>7</w:t>
            </w:r>
          </w:hyperlink>
        </w:p>
        <w:p>
          <w:pPr>
            <w:pStyle w:val="TOC1"/>
            <w:tabs>
              <w:tab w:pos="7936" w:val="left" w:leader="dot"/>
            </w:tabs>
          </w:pPr>
          <w:hyperlink w:history="true" w:anchor="_TOC_250002">
            <w:r>
              <w:rPr/>
              <w:t>Section 4: Spatial Analysis</w:t>
            </w:r>
            <w:r>
              <w:rPr>
                <w:spacing w:val="-7"/>
              </w:rPr>
              <w:t> </w:t>
            </w:r>
            <w:r>
              <w:rPr/>
              <w:t>of</w:t>
            </w:r>
            <w:r>
              <w:rPr>
                <w:spacing w:val="-2"/>
              </w:rPr>
              <w:t> </w:t>
            </w:r>
            <w:r>
              <w:rPr/>
              <w:t>Data</w:t>
              <w:tab/>
              <w:t>10</w:t>
            </w:r>
          </w:hyperlink>
        </w:p>
        <w:p>
          <w:pPr>
            <w:pStyle w:val="TOC1"/>
            <w:tabs>
              <w:tab w:pos="7948" w:val="left" w:leader="dot"/>
            </w:tabs>
            <w:spacing w:before="137"/>
          </w:pPr>
          <w:hyperlink w:history="true" w:anchor="_TOC_250001">
            <w:r>
              <w:rPr/>
              <w:t>Section 5:</w:t>
            </w:r>
            <w:r>
              <w:rPr>
                <w:spacing w:val="-7"/>
              </w:rPr>
              <w:t> </w:t>
            </w:r>
            <w:r>
              <w:rPr/>
              <w:t>Sectoral</w:t>
            </w:r>
            <w:r>
              <w:rPr>
                <w:spacing w:val="-1"/>
              </w:rPr>
              <w:t> </w:t>
            </w:r>
            <w:r>
              <w:rPr/>
              <w:t>Analysis</w:t>
              <w:tab/>
              <w:t>16</w:t>
            </w:r>
          </w:hyperlink>
        </w:p>
        <w:p>
          <w:pPr>
            <w:pStyle w:val="TOC1"/>
            <w:tabs>
              <w:tab w:pos="7974" w:val="left" w:leader="dot"/>
            </w:tabs>
          </w:pPr>
          <w:hyperlink w:history="true" w:anchor="_TOC_250000">
            <w:r>
              <w:rPr/>
              <w:t>Section 6: Conclusions</w:t>
            </w:r>
            <w:r>
              <w:rPr>
                <w:spacing w:val="-4"/>
              </w:rPr>
              <w:t> </w:t>
            </w:r>
            <w:r>
              <w:rPr/>
              <w:t>&amp;</w:t>
            </w:r>
            <w:r>
              <w:rPr>
                <w:spacing w:val="-3"/>
              </w:rPr>
              <w:t> </w:t>
            </w:r>
            <w:r>
              <w:rPr/>
              <w:t>Recommendations</w:t>
              <w:tab/>
              <w:t>30</w:t>
            </w:r>
          </w:hyperlink>
        </w:p>
        <w:p>
          <w:pPr>
            <w:spacing w:line="240" w:lineRule="auto" w:before="0"/>
            <w:rPr>
              <w:b/>
              <w:sz w:val="26"/>
            </w:rPr>
          </w:pPr>
          <w:r>
            <w:fldChar w:fldCharType="end"/>
          </w:r>
        </w:p>
      </w:sdtContent>
    </w:sdt>
    <w:p>
      <w:pPr>
        <w:pStyle w:val="BodyText"/>
        <w:rPr>
          <w:b/>
          <w:sz w:val="26"/>
        </w:rPr>
      </w:pPr>
    </w:p>
    <w:p>
      <w:pPr>
        <w:pStyle w:val="BodyText"/>
        <w:spacing w:before="11"/>
        <w:rPr>
          <w:b/>
          <w:sz w:val="37"/>
        </w:rPr>
      </w:pPr>
    </w:p>
    <w:p>
      <w:pPr>
        <w:pStyle w:val="Heading3"/>
        <w:ind w:left="130"/>
        <w:rPr>
          <w:u w:val="none"/>
        </w:rPr>
      </w:pPr>
      <w:r>
        <w:rPr>
          <w:u w:val="none"/>
        </w:rPr>
        <w:t>Appendices:</w:t>
      </w:r>
    </w:p>
    <w:p>
      <w:pPr>
        <w:pStyle w:val="BodyText"/>
        <w:rPr>
          <w:b/>
          <w:sz w:val="26"/>
        </w:rPr>
      </w:pPr>
    </w:p>
    <w:p>
      <w:pPr>
        <w:pStyle w:val="BodyText"/>
        <w:spacing w:before="11"/>
        <w:rPr>
          <w:b/>
          <w:sz w:val="21"/>
        </w:rPr>
      </w:pPr>
    </w:p>
    <w:p>
      <w:pPr>
        <w:pStyle w:val="BodyText"/>
        <w:spacing w:line="360" w:lineRule="auto"/>
        <w:ind w:left="130" w:right="1242"/>
      </w:pPr>
      <w:r>
        <w:rPr/>
        <w:t>Appendix 1: Distribution of Community Facilities from the 2009 Audit Appendix 2:   List of Survey Respondents</w:t>
      </w:r>
    </w:p>
    <w:p>
      <w:pPr>
        <w:pStyle w:val="BodyText"/>
        <w:tabs>
          <w:tab w:pos="1637" w:val="left" w:leader="none"/>
        </w:tabs>
        <w:spacing w:line="360" w:lineRule="auto" w:before="2"/>
        <w:ind w:left="130" w:right="2201"/>
      </w:pPr>
      <w:r>
        <w:rPr/>
        <w:t>Appendix 3: Copy of the Community &amp; Sports Questionnaire Appendix</w:t>
      </w:r>
      <w:r>
        <w:rPr>
          <w:spacing w:val="-3"/>
        </w:rPr>
        <w:t> </w:t>
      </w:r>
      <w:r>
        <w:rPr/>
        <w:t>4:</w:t>
        <w:tab/>
        <w:t>‘Other’ Type of Facility. (Question</w:t>
      </w:r>
      <w:r>
        <w:rPr>
          <w:spacing w:val="-12"/>
        </w:rPr>
        <w:t> </w:t>
      </w:r>
      <w:r>
        <w:rPr/>
        <w:t>2.1)</w:t>
      </w:r>
    </w:p>
    <w:p>
      <w:pPr>
        <w:pStyle w:val="BodyText"/>
        <w:spacing w:line="360" w:lineRule="auto" w:before="5"/>
        <w:ind w:left="130" w:right="222"/>
      </w:pPr>
      <w:r>
        <w:rPr/>
        <w:t>Appendix 5:   ‘Other’ line markings for sporting activities (Question 2.2) Appendix 6: ‘Other’ Types of Outdoor Leisure/Sporting Facilities (Question 2.3) </w:t>
      </w:r>
      <w:r>
        <w:rPr>
          <w:color w:val="333333"/>
        </w:rPr>
        <w:t>Appendix 7:  ‘Other’ Indoor Facilities. (Question 2.4)</w:t>
      </w:r>
    </w:p>
    <w:p>
      <w:pPr>
        <w:pStyle w:val="BodyText"/>
        <w:spacing w:line="360" w:lineRule="auto" w:before="2"/>
        <w:ind w:left="130" w:right="1242"/>
      </w:pPr>
      <w:r>
        <w:rPr/>
        <w:t>Appendix 8:   ‘Other’ Ownership of the Facility (Question 3.2)</w:t>
      </w:r>
      <w:r>
        <w:rPr>
          <w:color w:val="333333"/>
        </w:rPr>
        <w:t> Appendix 9: ´Other’ Types of Managements Structures (Question 3.1) </w:t>
      </w:r>
      <w:r>
        <w:rPr/>
        <w:t>Appendix 10:  Income Generation (Question</w:t>
      </w:r>
      <w:r>
        <w:rPr>
          <w:spacing w:val="-46"/>
        </w:rPr>
        <w:t> </w:t>
      </w:r>
      <w:r>
        <w:rPr/>
        <w:t>3.5)</w:t>
      </w:r>
    </w:p>
    <w:p>
      <w:pPr>
        <w:pStyle w:val="BodyText"/>
        <w:spacing w:line="360" w:lineRule="auto" w:before="4"/>
        <w:ind w:left="130" w:right="1242"/>
      </w:pPr>
      <w:r>
        <w:rPr/>
        <w:t>Appendix 11: ‘Other’ rooms available within the Facility (Question 4.1) Appendix 12:  Estimated Budgets (Question 4.6)</w:t>
      </w:r>
    </w:p>
    <w:p>
      <w:pPr>
        <w:pStyle w:val="BodyText"/>
        <w:spacing w:before="4"/>
        <w:ind w:left="130"/>
      </w:pPr>
      <w:r>
        <w:rPr/>
        <w:t>Appendix 13:  ‘Other’ users of the facilities (Question 5.1)</w:t>
      </w:r>
    </w:p>
    <w:p>
      <w:pPr>
        <w:pStyle w:val="BodyText"/>
        <w:tabs>
          <w:tab w:pos="1733" w:val="left" w:leader="none"/>
        </w:tabs>
        <w:spacing w:before="133"/>
        <w:ind w:left="130"/>
      </w:pPr>
      <w:r>
        <w:rPr/>
        <w:t>Appendix</w:t>
      </w:r>
      <w:r>
        <w:rPr>
          <w:spacing w:val="-4"/>
        </w:rPr>
        <w:t> </w:t>
      </w:r>
      <w:r>
        <w:rPr/>
        <w:t>14:</w:t>
        <w:tab/>
        <w:t>Sample ‘Community and Sports Facility Registration</w:t>
      </w:r>
      <w:r>
        <w:rPr>
          <w:spacing w:val="-22"/>
        </w:rPr>
        <w:t> </w:t>
      </w:r>
      <w:r>
        <w:rPr/>
        <w:t>Form’</w:t>
      </w:r>
    </w:p>
    <w:p>
      <w:pPr>
        <w:spacing w:after="0"/>
        <w:sectPr>
          <w:pgSz w:w="11910" w:h="17340"/>
          <w:pgMar w:header="759" w:footer="0" w:top="940" w:bottom="280" w:left="1440" w:right="1640"/>
        </w:sectPr>
      </w:pPr>
    </w:p>
    <w:p>
      <w:pPr>
        <w:pStyle w:val="BodyText"/>
        <w:spacing w:before="1"/>
        <w:rPr>
          <w:sz w:val="15"/>
        </w:rPr>
      </w:pPr>
    </w:p>
    <w:p>
      <w:pPr>
        <w:pStyle w:val="Heading1"/>
        <w:tabs>
          <w:tab w:pos="9349" w:val="left" w:leader="none"/>
        </w:tabs>
      </w:pPr>
      <w:bookmarkStart w:name="_TOC_250005" w:id="1"/>
      <w:r>
        <w:rPr>
          <w:shd w:fill="8DB3E1" w:color="auto" w:val="clear"/>
        </w:rPr>
        <w:t>Section 1:</w:t>
      </w:r>
      <w:r>
        <w:rPr>
          <w:spacing w:val="45"/>
          <w:shd w:fill="8DB3E1" w:color="auto" w:val="clear"/>
        </w:rPr>
        <w:t> </w:t>
      </w:r>
      <w:bookmarkEnd w:id="1"/>
      <w:r>
        <w:rPr>
          <w:shd w:fill="8DB3E1" w:color="auto" w:val="clear"/>
        </w:rPr>
        <w:t>Introduction</w:t>
        <w:tab/>
      </w:r>
    </w:p>
    <w:p>
      <w:pPr>
        <w:pStyle w:val="BodyText"/>
        <w:spacing w:before="12"/>
        <w:rPr>
          <w:rFonts w:ascii="Arial Black"/>
          <w:b/>
          <w:sz w:val="35"/>
        </w:rPr>
      </w:pPr>
    </w:p>
    <w:p>
      <w:pPr>
        <w:pStyle w:val="BodyText"/>
        <w:spacing w:line="360" w:lineRule="auto"/>
        <w:ind w:left="110" w:right="388"/>
      </w:pPr>
      <w:r>
        <w:rPr/>
        <w:t>The Social Inclusion Unit within the Community and Enterprise Section of Cavan County Council were assigned the task of conducting the “Survey of Community and Sports Facilities” within County Cavan. The completion of the survey was one of the key actions contained within the County’s Local Economic and Community Plan (LECP) 2016 – 2021 developed by the Local Community Development Committee (LCDC).</w:t>
      </w:r>
    </w:p>
    <w:p>
      <w:pPr>
        <w:pStyle w:val="BodyText"/>
        <w:spacing w:line="360" w:lineRule="auto" w:before="204"/>
        <w:ind w:left="110" w:right="176"/>
      </w:pPr>
      <w:r>
        <w:rPr/>
        <w:t>The need to either provide community and sports facilities or to make improvements to existing centres was a common theme across the various consultation sessions carried out for the LECP. The plan stated that in order to enable progress in this area, information must first be captured on groups currently operating and the facilities available in each local area. This audit of community and sports infrastructure will help to identify what is currently available at the local level within County Cavan. The analysis will enable identification of where new facilities are needed, or where facilities require upgrading, which will enable investment to be directed to communities on a priority</w:t>
      </w:r>
      <w:r>
        <w:rPr>
          <w:spacing w:val="-6"/>
        </w:rPr>
        <w:t> </w:t>
      </w:r>
      <w:r>
        <w:rPr/>
        <w:t>basis.</w:t>
      </w:r>
    </w:p>
    <w:p>
      <w:pPr>
        <w:pStyle w:val="BodyText"/>
        <w:spacing w:before="203"/>
        <w:ind w:left="110"/>
      </w:pPr>
      <w:r>
        <w:rPr/>
        <w:t>The overall objectives of this survey were to:</w:t>
      </w:r>
    </w:p>
    <w:p>
      <w:pPr>
        <w:pStyle w:val="ListParagraph"/>
        <w:numPr>
          <w:ilvl w:val="0"/>
          <w:numId w:val="3"/>
        </w:numPr>
        <w:tabs>
          <w:tab w:pos="389" w:val="left" w:leader="none"/>
        </w:tabs>
        <w:spacing w:line="240" w:lineRule="auto" w:before="136" w:after="0"/>
        <w:ind w:left="110" w:right="0" w:firstLine="0"/>
        <w:jc w:val="left"/>
        <w:rPr>
          <w:sz w:val="24"/>
        </w:rPr>
      </w:pPr>
      <w:r>
        <w:rPr>
          <w:sz w:val="24"/>
        </w:rPr>
        <w:t>establish the current level of provision, management and usage of</w:t>
      </w:r>
      <w:r>
        <w:rPr>
          <w:spacing w:val="-28"/>
          <w:sz w:val="24"/>
        </w:rPr>
        <w:t> </w:t>
      </w:r>
      <w:r>
        <w:rPr>
          <w:sz w:val="24"/>
        </w:rPr>
        <w:t>facilities.</w:t>
      </w:r>
    </w:p>
    <w:p>
      <w:pPr>
        <w:pStyle w:val="BodyText"/>
        <w:spacing w:before="5"/>
        <w:rPr>
          <w:sz w:val="26"/>
        </w:rPr>
      </w:pPr>
    </w:p>
    <w:p>
      <w:pPr>
        <w:pStyle w:val="ListParagraph"/>
        <w:numPr>
          <w:ilvl w:val="0"/>
          <w:numId w:val="3"/>
        </w:numPr>
        <w:tabs>
          <w:tab w:pos="441" w:val="left" w:leader="none"/>
        </w:tabs>
        <w:spacing w:line="360" w:lineRule="auto" w:before="1" w:after="0"/>
        <w:ind w:left="110" w:right="400" w:firstLine="0"/>
        <w:jc w:val="left"/>
        <w:rPr>
          <w:sz w:val="24"/>
        </w:rPr>
      </w:pPr>
      <w:r>
        <w:rPr>
          <w:sz w:val="24"/>
        </w:rPr>
        <w:t>Inform future investment in community and sports facilities based on the outcome of the survey, having regard to identified local</w:t>
      </w:r>
      <w:r>
        <w:rPr>
          <w:spacing w:val="-19"/>
          <w:sz w:val="24"/>
        </w:rPr>
        <w:t> </w:t>
      </w:r>
      <w:r>
        <w:rPr>
          <w:sz w:val="24"/>
        </w:rPr>
        <w:t>needs.</w:t>
      </w:r>
    </w:p>
    <w:p>
      <w:pPr>
        <w:pStyle w:val="BodyText"/>
        <w:spacing w:before="4"/>
        <w:rPr>
          <w:sz w:val="36"/>
        </w:rPr>
      </w:pPr>
    </w:p>
    <w:p>
      <w:pPr>
        <w:pStyle w:val="BodyText"/>
        <w:spacing w:line="360" w:lineRule="auto"/>
        <w:ind w:left="110" w:right="313"/>
      </w:pPr>
      <w:r>
        <w:rPr/>
        <w:t>The survey also set out to update an audit of community and sporting facilities which was previously carried out by Cavan County Council in 2009 in response to a</w:t>
      </w:r>
      <w:r>
        <w:rPr>
          <w:spacing w:val="-29"/>
        </w:rPr>
        <w:t> </w:t>
      </w:r>
      <w:r>
        <w:rPr/>
        <w:t>request from the then Department of Environment, Heritage and Local Government. The need for a comprehensive national audit was identified at the time through the consultation process undertaken by the Taskforce on Active Citizenship which had identified the lack of community facilities in which community activity could take</w:t>
      </w:r>
      <w:r>
        <w:rPr>
          <w:spacing w:val="-24"/>
        </w:rPr>
        <w:t> </w:t>
      </w:r>
      <w:r>
        <w:rPr/>
        <w:t>place</w:t>
      </w:r>
    </w:p>
    <w:p>
      <w:pPr>
        <w:pStyle w:val="BodyText"/>
        <w:spacing w:line="360" w:lineRule="auto" w:before="4"/>
        <w:ind w:left="110" w:right="134"/>
      </w:pPr>
      <w:r>
        <w:rPr/>
        <w:t>as a major obstacle to community development. Therefore the Report of the Taskforce on Active Citizenship (2007) recommended that an audit of all community and sporting facilities be undertaken by Local Authorities to establish a detailed county - wide database collected at a local level. A copy of the map showing the distribution of all the</w:t>
      </w:r>
    </w:p>
    <w:p>
      <w:pPr>
        <w:spacing w:after="0" w:line="360" w:lineRule="auto"/>
        <w:sectPr>
          <w:footerReference w:type="default" r:id="rId8"/>
          <w:pgSz w:w="11910" w:h="17340"/>
          <w:pgMar w:footer="1014" w:header="759" w:top="940" w:bottom="1200" w:left="1460" w:right="980"/>
          <w:pgNumType w:start="1"/>
        </w:sectPr>
      </w:pPr>
    </w:p>
    <w:p>
      <w:pPr>
        <w:pStyle w:val="BodyText"/>
        <w:spacing w:before="7"/>
        <w:rPr>
          <w:sz w:val="15"/>
        </w:rPr>
      </w:pPr>
    </w:p>
    <w:p>
      <w:pPr>
        <w:pStyle w:val="BodyText"/>
        <w:spacing w:line="360" w:lineRule="auto" w:before="92"/>
        <w:ind w:left="110" w:right="161"/>
      </w:pPr>
      <w:r>
        <w:rPr/>
        <w:t>community facilities identified during this audit is included in Appendix 1 for reference purposes.</w:t>
      </w:r>
    </w:p>
    <w:p>
      <w:pPr>
        <w:pStyle w:val="BodyText"/>
        <w:spacing w:line="360" w:lineRule="auto" w:before="203"/>
        <w:ind w:left="110" w:right="94"/>
      </w:pPr>
      <w:r>
        <w:rPr/>
        <w:t>Problems exist in identifying and defining a true population of community and sporting facilities but none the less the survey was successful in capturing and authenticating the location of 125 indoor facilities. Please see Appendix 2, for all a full listing of all those who responded to the survey.</w:t>
      </w:r>
    </w:p>
    <w:p>
      <w:pPr>
        <w:spacing w:after="0" w:line="360" w:lineRule="auto"/>
        <w:sectPr>
          <w:pgSz w:w="11910" w:h="17340"/>
          <w:pgMar w:header="759" w:footer="1014" w:top="940" w:bottom="1200" w:left="1460" w:right="1140"/>
        </w:sectPr>
      </w:pPr>
    </w:p>
    <w:p>
      <w:pPr>
        <w:pStyle w:val="BodyText"/>
        <w:spacing w:before="1"/>
        <w:rPr>
          <w:sz w:val="15"/>
        </w:rPr>
      </w:pPr>
    </w:p>
    <w:p>
      <w:pPr>
        <w:pStyle w:val="Heading1"/>
        <w:tabs>
          <w:tab w:pos="9349" w:val="left" w:leader="none"/>
        </w:tabs>
      </w:pPr>
      <w:bookmarkStart w:name="_TOC_250004" w:id="2"/>
      <w:r>
        <w:rPr>
          <w:shd w:fill="8DB3E1" w:color="auto" w:val="clear"/>
        </w:rPr>
        <w:t>Section 2:  Baseline Population</w:t>
      </w:r>
      <w:r>
        <w:rPr>
          <w:spacing w:val="-63"/>
          <w:shd w:fill="8DB3E1" w:color="auto" w:val="clear"/>
        </w:rPr>
        <w:t> </w:t>
      </w:r>
      <w:bookmarkEnd w:id="2"/>
      <w:r>
        <w:rPr>
          <w:shd w:fill="8DB3E1" w:color="auto" w:val="clear"/>
        </w:rPr>
        <w:t>Data</w:t>
        <w:tab/>
      </w:r>
    </w:p>
    <w:p>
      <w:pPr>
        <w:pStyle w:val="BodyText"/>
        <w:spacing w:before="9"/>
        <w:rPr>
          <w:rFonts w:ascii="Arial Black"/>
          <w:b/>
          <w:sz w:val="51"/>
        </w:rPr>
      </w:pPr>
    </w:p>
    <w:p>
      <w:pPr>
        <w:pStyle w:val="BodyText"/>
        <w:spacing w:line="412" w:lineRule="auto"/>
        <w:ind w:left="110" w:right="242"/>
        <w:rPr>
          <w:rFonts w:ascii="Helvetica"/>
        </w:rPr>
      </w:pPr>
      <w:r>
        <w:rPr>
          <w:rFonts w:ascii="Helvetica"/>
        </w:rPr>
        <w:t>Cavan is divided into three Municipal Districts, illustrated in Figure 1 below. These are Bailieborough/Cootehill; Cavan/Belturbet; and Ballyjamesduff.</w:t>
      </w:r>
    </w:p>
    <w:p>
      <w:pPr>
        <w:pStyle w:val="BodyText"/>
        <w:spacing w:before="1"/>
        <w:rPr>
          <w:rFonts w:ascii="Helvetica"/>
          <w:sz w:val="30"/>
        </w:rPr>
      </w:pPr>
    </w:p>
    <w:p>
      <w:pPr>
        <w:spacing w:before="0"/>
        <w:ind w:left="110" w:right="0" w:firstLine="0"/>
        <w:jc w:val="left"/>
        <w:rPr>
          <w:b/>
          <w:sz w:val="20"/>
        </w:rPr>
      </w:pPr>
      <w:r>
        <w:rPr>
          <w:b/>
          <w:sz w:val="20"/>
        </w:rPr>
        <w:t>Figure 1 – Municipal Districts of Cavan</w:t>
      </w:r>
    </w:p>
    <w:p>
      <w:pPr>
        <w:pStyle w:val="BodyText"/>
        <w:rPr>
          <w:b/>
          <w:sz w:val="20"/>
        </w:rPr>
      </w:pPr>
    </w:p>
    <w:p>
      <w:pPr>
        <w:pStyle w:val="BodyText"/>
        <w:spacing w:before="1"/>
        <w:rPr>
          <w:b/>
          <w:sz w:val="14"/>
        </w:rPr>
      </w:pPr>
      <w:r>
        <w:rPr/>
        <w:drawing>
          <wp:anchor distT="0" distB="0" distL="0" distR="0" allowOverlap="1" layoutInCell="1" locked="0" behindDoc="0" simplePos="0" relativeHeight="1096">
            <wp:simplePos x="0" y="0"/>
            <wp:positionH relativeFrom="page">
              <wp:posOffset>1032027</wp:posOffset>
            </wp:positionH>
            <wp:positionV relativeFrom="paragraph">
              <wp:posOffset>128203</wp:posOffset>
            </wp:positionV>
            <wp:extent cx="5824723" cy="4116324"/>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5824723" cy="4116324"/>
                    </a:xfrm>
                    <a:prstGeom prst="rect">
                      <a:avLst/>
                    </a:prstGeom>
                  </pic:spPr>
                </pic:pic>
              </a:graphicData>
            </a:graphic>
          </wp:anchor>
        </w:drawing>
      </w:r>
    </w:p>
    <w:p>
      <w:pPr>
        <w:pStyle w:val="BodyText"/>
        <w:rPr>
          <w:b/>
          <w:sz w:val="22"/>
        </w:rPr>
      </w:pPr>
    </w:p>
    <w:p>
      <w:pPr>
        <w:pStyle w:val="BodyText"/>
        <w:spacing w:before="6"/>
        <w:rPr>
          <w:b/>
          <w:sz w:val="29"/>
        </w:rPr>
      </w:pPr>
    </w:p>
    <w:p>
      <w:pPr>
        <w:pStyle w:val="BodyText"/>
        <w:ind w:left="110"/>
      </w:pPr>
      <w:r>
        <w:rPr/>
        <w:t>Cavan is a predominately rural county with 70% of the population living in</w:t>
      </w:r>
    </w:p>
    <w:p>
      <w:pPr>
        <w:pStyle w:val="BodyText"/>
        <w:spacing w:line="360" w:lineRule="auto" w:before="139"/>
        <w:ind w:left="110" w:right="616"/>
      </w:pPr>
      <w:r>
        <w:rPr/>
        <w:t>rural areas and very small settlements. This is in stark contrast to the State, where the majority of people (62%) live in urban areas. Nationally the proportion of people living in urban areas increased by 11% between 2006 and 2011.</w:t>
      </w:r>
    </w:p>
    <w:p>
      <w:pPr>
        <w:pStyle w:val="BodyText"/>
        <w:spacing w:line="360" w:lineRule="auto" w:before="202"/>
        <w:ind w:left="110" w:right="294"/>
      </w:pPr>
      <w:r>
        <w:rPr/>
        <w:t>As well as having a relatively high proportion of our population living in rural areas, Cavan‘s population density is also relatively low. The population density of County Cavan in 2011 was 39.43 persons per square kilometre, having increased from 34.48 in 2006. The national average in 2011 was 67 persons per square kilometre.</w:t>
      </w:r>
    </w:p>
    <w:p>
      <w:pPr>
        <w:pStyle w:val="BodyText"/>
        <w:spacing w:line="360" w:lineRule="auto" w:before="204"/>
        <w:ind w:left="110" w:right="374"/>
      </w:pPr>
      <w:r>
        <w:rPr/>
        <w:t>Census 2011 data shows varying geographical trends throughout the county. The population of the east of the county continues to grow at a faster rate than that of the</w:t>
      </w:r>
    </w:p>
    <w:p>
      <w:pPr>
        <w:spacing w:after="0" w:line="360" w:lineRule="auto"/>
        <w:sectPr>
          <w:pgSz w:w="11910" w:h="17340"/>
          <w:pgMar w:header="759" w:footer="1014" w:top="940" w:bottom="1200" w:left="1460" w:right="980"/>
        </w:sectPr>
      </w:pPr>
    </w:p>
    <w:p>
      <w:pPr>
        <w:pStyle w:val="BodyText"/>
        <w:spacing w:before="7"/>
        <w:rPr>
          <w:sz w:val="15"/>
        </w:rPr>
      </w:pPr>
    </w:p>
    <w:p>
      <w:pPr>
        <w:pStyle w:val="BodyText"/>
        <w:spacing w:line="360" w:lineRule="auto" w:before="92"/>
        <w:ind w:left="110" w:right="667"/>
      </w:pPr>
      <w:r>
        <w:rPr/>
        <w:t>west. Some areas close to larger towns in the east have experienced a significant rise in population. For example, the Mullagh Electoral Division (ED) experienced a 40.6% and Ballyjamesduff ED a 39.9% growth in population from the 2006 to 2011 censuses. Other more remote and economically weaker areas have experienced population decline, for example in west Cavan near Dowra and Glangevlin, the Derrylahan ED had a population decrease of 20% and Teebane ED 17.1%.</w:t>
      </w:r>
    </w:p>
    <w:p>
      <w:pPr>
        <w:spacing w:before="200" w:after="5"/>
        <w:ind w:left="110" w:right="0" w:firstLine="0"/>
        <w:jc w:val="left"/>
        <w:rPr>
          <w:b/>
          <w:sz w:val="20"/>
        </w:rPr>
      </w:pPr>
      <w:r>
        <w:rPr>
          <w:b/>
          <w:sz w:val="20"/>
        </w:rPr>
        <w:t>Figure 2: Total Population in Cavan Electoral Divisions 2011</w:t>
      </w:r>
    </w:p>
    <w:p>
      <w:pPr>
        <w:pStyle w:val="BodyText"/>
        <w:ind w:left="139"/>
        <w:rPr>
          <w:sz w:val="20"/>
        </w:rPr>
      </w:pPr>
      <w:r>
        <w:rPr>
          <w:sz w:val="20"/>
        </w:rPr>
        <w:drawing>
          <wp:inline distT="0" distB="0" distL="0" distR="0">
            <wp:extent cx="6195542" cy="2921793"/>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6195542" cy="2921793"/>
                    </a:xfrm>
                    <a:prstGeom prst="rect">
                      <a:avLst/>
                    </a:prstGeom>
                  </pic:spPr>
                </pic:pic>
              </a:graphicData>
            </a:graphic>
          </wp:inline>
        </w:drawing>
      </w:r>
      <w:r>
        <w:rPr>
          <w:sz w:val="20"/>
        </w:rPr>
      </w:r>
    </w:p>
    <w:p>
      <w:pPr>
        <w:spacing w:before="115"/>
        <w:ind w:left="110" w:right="0" w:firstLine="0"/>
        <w:jc w:val="left"/>
        <w:rPr>
          <w:sz w:val="20"/>
        </w:rPr>
      </w:pPr>
      <w:r>
        <w:rPr>
          <w:w w:val="90"/>
          <w:sz w:val="20"/>
        </w:rPr>
        <w:t>Source: AIRO Maynooth</w:t>
      </w:r>
    </w:p>
    <w:p>
      <w:pPr>
        <w:pStyle w:val="BodyText"/>
        <w:rPr>
          <w:sz w:val="20"/>
        </w:rPr>
      </w:pPr>
    </w:p>
    <w:p>
      <w:pPr>
        <w:pStyle w:val="BodyText"/>
        <w:rPr>
          <w:sz w:val="20"/>
        </w:rPr>
      </w:pPr>
    </w:p>
    <w:p>
      <w:pPr>
        <w:pStyle w:val="BodyText"/>
        <w:rPr>
          <w:sz w:val="20"/>
        </w:rPr>
      </w:pPr>
    </w:p>
    <w:p>
      <w:pPr>
        <w:pStyle w:val="BodyText"/>
        <w:spacing w:line="360" w:lineRule="auto" w:before="170"/>
        <w:ind w:left="110" w:right="1175"/>
      </w:pPr>
      <w:r>
        <w:rPr/>
        <w:t>Table 1 illustrates the hierarchy of settlements in the County Cavan according the Cavan County Council’s County Development Plan 2014 -2020.</w:t>
      </w:r>
    </w:p>
    <w:p>
      <w:pPr>
        <w:spacing w:after="0" w:line="360" w:lineRule="auto"/>
        <w:sectPr>
          <w:pgSz w:w="11910" w:h="17340"/>
          <w:pgMar w:header="759" w:footer="1014" w:top="940" w:bottom="1200" w:left="1460" w:right="500"/>
        </w:sectPr>
      </w:pPr>
    </w:p>
    <w:p>
      <w:pPr>
        <w:pStyle w:val="BodyText"/>
        <w:spacing w:before="6"/>
        <w:rPr>
          <w:sz w:val="15"/>
        </w:rPr>
      </w:pPr>
    </w:p>
    <w:p>
      <w:pPr>
        <w:spacing w:before="93"/>
        <w:ind w:left="230" w:right="0" w:firstLine="0"/>
        <w:jc w:val="left"/>
        <w:rPr>
          <w:b/>
          <w:sz w:val="20"/>
        </w:rPr>
      </w:pPr>
      <w:r>
        <w:rPr>
          <w:b/>
          <w:sz w:val="20"/>
        </w:rPr>
        <w:t>Table1: Hierarchy of Settlements in County Cavan</w:t>
      </w:r>
    </w:p>
    <w:p>
      <w:pPr>
        <w:pStyle w:val="BodyText"/>
        <w:spacing w:before="7"/>
        <w:rPr>
          <w:b/>
          <w:sz w:val="27"/>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4"/>
        <w:gridCol w:w="3827"/>
        <w:gridCol w:w="2978"/>
      </w:tblGrid>
      <w:tr>
        <w:trPr>
          <w:trHeight w:val="340" w:hRule="atLeast"/>
        </w:trPr>
        <w:tc>
          <w:tcPr>
            <w:tcW w:w="2804" w:type="dxa"/>
            <w:shd w:val="clear" w:color="auto" w:fill="8DB3E1"/>
          </w:tcPr>
          <w:p>
            <w:pPr>
              <w:pStyle w:val="TableParagraph"/>
              <w:spacing w:line="225" w:lineRule="exact"/>
              <w:ind w:left="102"/>
              <w:rPr>
                <w:b/>
                <w:sz w:val="20"/>
              </w:rPr>
            </w:pPr>
            <w:r>
              <w:rPr>
                <w:b/>
                <w:sz w:val="20"/>
              </w:rPr>
              <w:t>Status</w:t>
            </w:r>
          </w:p>
        </w:tc>
        <w:tc>
          <w:tcPr>
            <w:tcW w:w="3827" w:type="dxa"/>
            <w:shd w:val="clear" w:color="auto" w:fill="8DB3E1"/>
          </w:tcPr>
          <w:p>
            <w:pPr>
              <w:pStyle w:val="TableParagraph"/>
              <w:spacing w:line="225" w:lineRule="exact"/>
              <w:ind w:left="100"/>
              <w:rPr>
                <w:b/>
                <w:sz w:val="20"/>
              </w:rPr>
            </w:pPr>
            <w:r>
              <w:rPr>
                <w:b/>
                <w:sz w:val="20"/>
              </w:rPr>
              <w:t>Name</w:t>
            </w:r>
          </w:p>
        </w:tc>
        <w:tc>
          <w:tcPr>
            <w:tcW w:w="2978" w:type="dxa"/>
            <w:shd w:val="clear" w:color="auto" w:fill="8DB3E1"/>
          </w:tcPr>
          <w:p>
            <w:pPr>
              <w:pStyle w:val="TableParagraph"/>
              <w:spacing w:line="225" w:lineRule="exact"/>
              <w:ind w:left="102"/>
              <w:rPr>
                <w:b/>
                <w:sz w:val="20"/>
              </w:rPr>
            </w:pPr>
            <w:r>
              <w:rPr>
                <w:b/>
                <w:sz w:val="20"/>
              </w:rPr>
              <w:t>Population</w:t>
            </w:r>
          </w:p>
        </w:tc>
      </w:tr>
      <w:tr>
        <w:trPr>
          <w:trHeight w:val="3020" w:hRule="atLeast"/>
        </w:trPr>
        <w:tc>
          <w:tcPr>
            <w:tcW w:w="2804" w:type="dxa"/>
            <w:shd w:val="clear" w:color="auto" w:fill="EDEBE0"/>
          </w:tcPr>
          <w:p>
            <w:pPr>
              <w:pStyle w:val="TableParagraph"/>
              <w:spacing w:line="250" w:lineRule="exact"/>
              <w:ind w:left="102"/>
              <w:rPr>
                <w:sz w:val="22"/>
              </w:rPr>
            </w:pPr>
            <w:r>
              <w:rPr>
                <w:sz w:val="22"/>
              </w:rPr>
              <w:t>Tier Six</w:t>
            </w:r>
          </w:p>
          <w:p>
            <w:pPr>
              <w:pStyle w:val="TableParagraph"/>
              <w:spacing w:line="240" w:lineRule="auto" w:before="126"/>
              <w:ind w:left="102"/>
              <w:rPr>
                <w:sz w:val="22"/>
              </w:rPr>
            </w:pPr>
            <w:r>
              <w:rPr>
                <w:sz w:val="22"/>
              </w:rPr>
              <w:t>(Small Villages)</w:t>
            </w:r>
          </w:p>
        </w:tc>
        <w:tc>
          <w:tcPr>
            <w:tcW w:w="3827" w:type="dxa"/>
            <w:shd w:val="clear" w:color="auto" w:fill="EDEBE0"/>
          </w:tcPr>
          <w:p>
            <w:pPr>
              <w:pStyle w:val="TableParagraph"/>
              <w:spacing w:line="360" w:lineRule="auto"/>
              <w:ind w:left="100" w:right="2412"/>
              <w:rPr>
                <w:sz w:val="22"/>
              </w:rPr>
            </w:pPr>
            <w:r>
              <w:rPr>
                <w:sz w:val="22"/>
              </w:rPr>
              <w:t>Bawnboy Dowra Kilcogy Stradone Redhills Mountnugent Crossdoney</w:t>
            </w:r>
          </w:p>
          <w:p>
            <w:pPr>
              <w:pStyle w:val="TableParagraph"/>
              <w:spacing w:line="240" w:lineRule="auto" w:before="9"/>
              <w:ind w:left="100"/>
              <w:rPr>
                <w:sz w:val="22"/>
              </w:rPr>
            </w:pPr>
            <w:r>
              <w:rPr>
                <w:sz w:val="22"/>
              </w:rPr>
              <w:t>Crosskeys</w:t>
            </w:r>
          </w:p>
        </w:tc>
        <w:tc>
          <w:tcPr>
            <w:tcW w:w="2978" w:type="dxa"/>
            <w:shd w:val="clear" w:color="auto" w:fill="EDEBE0"/>
          </w:tcPr>
          <w:p>
            <w:pPr>
              <w:pStyle w:val="TableParagraph"/>
              <w:spacing w:line="250" w:lineRule="exact"/>
              <w:ind w:left="102"/>
              <w:rPr>
                <w:sz w:val="22"/>
              </w:rPr>
            </w:pPr>
            <w:r>
              <w:rPr>
                <w:sz w:val="22"/>
              </w:rPr>
              <w:t>No census data</w:t>
            </w:r>
          </w:p>
        </w:tc>
      </w:tr>
      <w:tr>
        <w:trPr>
          <w:trHeight w:val="1500" w:hRule="atLeast"/>
        </w:trPr>
        <w:tc>
          <w:tcPr>
            <w:tcW w:w="2804" w:type="dxa"/>
            <w:shd w:val="clear" w:color="auto" w:fill="EDEBE0"/>
          </w:tcPr>
          <w:p>
            <w:pPr>
              <w:pStyle w:val="TableParagraph"/>
              <w:spacing w:line="360" w:lineRule="auto"/>
              <w:ind w:left="102" w:right="1754"/>
              <w:rPr>
                <w:sz w:val="22"/>
              </w:rPr>
            </w:pPr>
            <w:r>
              <w:rPr>
                <w:sz w:val="22"/>
              </w:rPr>
              <w:t>Tier Five (Villages)</w:t>
            </w:r>
          </w:p>
        </w:tc>
        <w:tc>
          <w:tcPr>
            <w:tcW w:w="3827" w:type="dxa"/>
            <w:shd w:val="clear" w:color="auto" w:fill="EDEBE0"/>
          </w:tcPr>
          <w:p>
            <w:pPr>
              <w:pStyle w:val="TableParagraph"/>
              <w:spacing w:line="360" w:lineRule="auto"/>
              <w:ind w:left="100" w:right="2412"/>
              <w:rPr>
                <w:sz w:val="22"/>
              </w:rPr>
            </w:pPr>
            <w:r>
              <w:rPr>
                <w:sz w:val="22"/>
              </w:rPr>
              <w:t>Loch Gowna Swanlinbar Blacklion</w:t>
            </w:r>
          </w:p>
          <w:p>
            <w:pPr>
              <w:pStyle w:val="TableParagraph"/>
              <w:spacing w:line="240" w:lineRule="auto" w:before="6"/>
              <w:ind w:left="100"/>
              <w:rPr>
                <w:sz w:val="22"/>
              </w:rPr>
            </w:pPr>
            <w:r>
              <w:rPr>
                <w:sz w:val="22"/>
              </w:rPr>
              <w:t>Butlersbridge</w:t>
            </w:r>
          </w:p>
        </w:tc>
        <w:tc>
          <w:tcPr>
            <w:tcW w:w="2978" w:type="dxa"/>
            <w:shd w:val="clear" w:color="auto" w:fill="EDEBE0"/>
          </w:tcPr>
          <w:p>
            <w:pPr>
              <w:pStyle w:val="TableParagraph"/>
              <w:spacing w:line="250" w:lineRule="exact"/>
              <w:ind w:left="102"/>
              <w:rPr>
                <w:sz w:val="22"/>
              </w:rPr>
            </w:pPr>
            <w:r>
              <w:rPr>
                <w:sz w:val="22"/>
              </w:rPr>
              <w:t>Under 300</w:t>
            </w:r>
          </w:p>
        </w:tc>
      </w:tr>
      <w:tr>
        <w:trPr>
          <w:trHeight w:val="1880" w:hRule="atLeast"/>
        </w:trPr>
        <w:tc>
          <w:tcPr>
            <w:tcW w:w="2804" w:type="dxa"/>
            <w:shd w:val="clear" w:color="auto" w:fill="EDEBE0"/>
          </w:tcPr>
          <w:p>
            <w:pPr>
              <w:pStyle w:val="TableParagraph"/>
              <w:spacing w:line="362" w:lineRule="auto"/>
              <w:ind w:left="102" w:right="1265"/>
              <w:rPr>
                <w:sz w:val="22"/>
              </w:rPr>
            </w:pPr>
            <w:r>
              <w:rPr>
                <w:sz w:val="22"/>
              </w:rPr>
              <w:t>Tier Four (Small Towns)</w:t>
            </w:r>
          </w:p>
        </w:tc>
        <w:tc>
          <w:tcPr>
            <w:tcW w:w="3827" w:type="dxa"/>
            <w:shd w:val="clear" w:color="auto" w:fill="EDEBE0"/>
          </w:tcPr>
          <w:p>
            <w:pPr>
              <w:pStyle w:val="TableParagraph"/>
              <w:spacing w:line="360" w:lineRule="auto"/>
              <w:ind w:left="100" w:right="1919"/>
              <w:rPr>
                <w:sz w:val="22"/>
              </w:rPr>
            </w:pPr>
            <w:r>
              <w:rPr>
                <w:sz w:val="22"/>
              </w:rPr>
              <w:t>Killeshandra, Arva Kilnaleck Shercock Ballyhaise</w:t>
            </w:r>
          </w:p>
          <w:p>
            <w:pPr>
              <w:pStyle w:val="TableParagraph"/>
              <w:spacing w:line="240" w:lineRule="auto" w:before="6"/>
              <w:ind w:left="100"/>
              <w:rPr>
                <w:sz w:val="22"/>
              </w:rPr>
            </w:pPr>
            <w:r>
              <w:rPr>
                <w:sz w:val="22"/>
              </w:rPr>
              <w:t>Ballinagh</w:t>
            </w:r>
          </w:p>
        </w:tc>
        <w:tc>
          <w:tcPr>
            <w:tcW w:w="2978" w:type="dxa"/>
            <w:shd w:val="clear" w:color="auto" w:fill="EDEBE0"/>
          </w:tcPr>
          <w:p>
            <w:pPr>
              <w:pStyle w:val="TableParagraph"/>
              <w:spacing w:line="250" w:lineRule="exact"/>
              <w:ind w:left="102"/>
              <w:rPr>
                <w:sz w:val="22"/>
              </w:rPr>
            </w:pPr>
            <w:r>
              <w:rPr>
                <w:sz w:val="22"/>
              </w:rPr>
              <w:t>Under 1,000</w:t>
            </w:r>
          </w:p>
        </w:tc>
      </w:tr>
      <w:tr>
        <w:trPr>
          <w:trHeight w:val="740" w:hRule="atLeast"/>
        </w:trPr>
        <w:tc>
          <w:tcPr>
            <w:tcW w:w="2804" w:type="dxa"/>
            <w:shd w:val="clear" w:color="auto" w:fill="EDEBE0"/>
          </w:tcPr>
          <w:p>
            <w:pPr>
              <w:pStyle w:val="TableParagraph"/>
              <w:spacing w:line="250" w:lineRule="exact"/>
              <w:ind w:left="102"/>
              <w:rPr>
                <w:sz w:val="22"/>
              </w:rPr>
            </w:pPr>
            <w:r>
              <w:rPr>
                <w:sz w:val="22"/>
              </w:rPr>
              <w:t>Tier Three</w:t>
            </w:r>
          </w:p>
          <w:p>
            <w:pPr>
              <w:pStyle w:val="TableParagraph"/>
              <w:spacing w:line="240" w:lineRule="auto" w:before="126"/>
              <w:ind w:left="102"/>
              <w:rPr>
                <w:sz w:val="22"/>
              </w:rPr>
            </w:pPr>
            <w:r>
              <w:rPr>
                <w:sz w:val="22"/>
              </w:rPr>
              <w:t>(Medium Towns)</w:t>
            </w:r>
          </w:p>
        </w:tc>
        <w:tc>
          <w:tcPr>
            <w:tcW w:w="3827" w:type="dxa"/>
            <w:shd w:val="clear" w:color="auto" w:fill="EDEBE0"/>
          </w:tcPr>
          <w:p>
            <w:pPr>
              <w:pStyle w:val="TableParagraph"/>
              <w:spacing w:line="250" w:lineRule="exact"/>
              <w:ind w:left="100"/>
              <w:rPr>
                <w:sz w:val="22"/>
              </w:rPr>
            </w:pPr>
            <w:r>
              <w:rPr>
                <w:sz w:val="22"/>
              </w:rPr>
              <w:t>Mullagh, Belturbet, Ballyconnell</w:t>
            </w:r>
          </w:p>
        </w:tc>
        <w:tc>
          <w:tcPr>
            <w:tcW w:w="2978" w:type="dxa"/>
            <w:shd w:val="clear" w:color="auto" w:fill="EDEBE0"/>
          </w:tcPr>
          <w:p>
            <w:pPr>
              <w:pStyle w:val="TableParagraph"/>
              <w:spacing w:line="250" w:lineRule="exact"/>
              <w:ind w:left="102"/>
              <w:rPr>
                <w:sz w:val="22"/>
              </w:rPr>
            </w:pPr>
            <w:r>
              <w:rPr>
                <w:sz w:val="22"/>
              </w:rPr>
              <w:t>Over 1,000</w:t>
            </w:r>
          </w:p>
        </w:tc>
      </w:tr>
      <w:tr>
        <w:trPr>
          <w:trHeight w:val="740" w:hRule="atLeast"/>
        </w:trPr>
        <w:tc>
          <w:tcPr>
            <w:tcW w:w="2804" w:type="dxa"/>
            <w:shd w:val="clear" w:color="auto" w:fill="EDEBE0"/>
          </w:tcPr>
          <w:p>
            <w:pPr>
              <w:pStyle w:val="TableParagraph"/>
              <w:spacing w:line="252" w:lineRule="exact"/>
              <w:ind w:left="102"/>
              <w:rPr>
                <w:sz w:val="22"/>
              </w:rPr>
            </w:pPr>
            <w:r>
              <w:rPr>
                <w:sz w:val="22"/>
              </w:rPr>
              <w:t>Tier Two</w:t>
            </w:r>
          </w:p>
          <w:p>
            <w:pPr>
              <w:pStyle w:val="TableParagraph"/>
              <w:spacing w:line="240" w:lineRule="auto" w:before="126"/>
              <w:ind w:left="102"/>
              <w:rPr>
                <w:sz w:val="22"/>
              </w:rPr>
            </w:pPr>
            <w:r>
              <w:rPr>
                <w:sz w:val="22"/>
              </w:rPr>
              <w:t>(Large Towns)</w:t>
            </w:r>
          </w:p>
        </w:tc>
        <w:tc>
          <w:tcPr>
            <w:tcW w:w="3827" w:type="dxa"/>
            <w:shd w:val="clear" w:color="auto" w:fill="EDEBE0"/>
          </w:tcPr>
          <w:p>
            <w:pPr>
              <w:pStyle w:val="TableParagraph"/>
              <w:spacing w:line="252" w:lineRule="exact"/>
              <w:ind w:left="100"/>
              <w:rPr>
                <w:sz w:val="22"/>
              </w:rPr>
            </w:pPr>
            <w:r>
              <w:rPr>
                <w:sz w:val="22"/>
              </w:rPr>
              <w:t>Bailieborough, Ballyjamesduff,</w:t>
            </w:r>
          </w:p>
          <w:p>
            <w:pPr>
              <w:pStyle w:val="TableParagraph"/>
              <w:spacing w:line="240" w:lineRule="auto" w:before="126"/>
              <w:ind w:left="100"/>
              <w:rPr>
                <w:sz w:val="22"/>
              </w:rPr>
            </w:pPr>
            <w:r>
              <w:rPr>
                <w:sz w:val="22"/>
              </w:rPr>
              <w:t>Cootehill, Kingscourt, Virginia</w:t>
            </w:r>
          </w:p>
        </w:tc>
        <w:tc>
          <w:tcPr>
            <w:tcW w:w="2978" w:type="dxa"/>
            <w:shd w:val="clear" w:color="auto" w:fill="EDEBE0"/>
          </w:tcPr>
          <w:p>
            <w:pPr>
              <w:pStyle w:val="TableParagraph"/>
              <w:spacing w:line="252" w:lineRule="exact"/>
              <w:ind w:left="102"/>
              <w:rPr>
                <w:sz w:val="22"/>
              </w:rPr>
            </w:pPr>
            <w:r>
              <w:rPr>
                <w:sz w:val="22"/>
              </w:rPr>
              <w:t>Over 2,000</w:t>
            </w:r>
          </w:p>
        </w:tc>
      </w:tr>
      <w:tr>
        <w:trPr>
          <w:trHeight w:val="740" w:hRule="atLeast"/>
        </w:trPr>
        <w:tc>
          <w:tcPr>
            <w:tcW w:w="2804" w:type="dxa"/>
            <w:shd w:val="clear" w:color="auto" w:fill="EDEBE0"/>
          </w:tcPr>
          <w:p>
            <w:pPr>
              <w:pStyle w:val="TableParagraph"/>
              <w:spacing w:line="250" w:lineRule="exact"/>
              <w:ind w:left="102"/>
              <w:rPr>
                <w:sz w:val="22"/>
              </w:rPr>
            </w:pPr>
            <w:r>
              <w:rPr>
                <w:sz w:val="22"/>
              </w:rPr>
              <w:t>Tier One</w:t>
            </w:r>
          </w:p>
          <w:p>
            <w:pPr>
              <w:pStyle w:val="TableParagraph"/>
              <w:spacing w:line="240" w:lineRule="auto" w:before="126"/>
              <w:ind w:left="102"/>
              <w:rPr>
                <w:sz w:val="22"/>
              </w:rPr>
            </w:pPr>
            <w:r>
              <w:rPr>
                <w:sz w:val="22"/>
              </w:rPr>
              <w:t>(Principle Town)</w:t>
            </w:r>
          </w:p>
        </w:tc>
        <w:tc>
          <w:tcPr>
            <w:tcW w:w="3827" w:type="dxa"/>
            <w:shd w:val="clear" w:color="auto" w:fill="EDEBE0"/>
          </w:tcPr>
          <w:p>
            <w:pPr>
              <w:pStyle w:val="TableParagraph"/>
              <w:spacing w:line="250" w:lineRule="exact"/>
              <w:ind w:left="100"/>
              <w:rPr>
                <w:sz w:val="22"/>
              </w:rPr>
            </w:pPr>
            <w:r>
              <w:rPr>
                <w:sz w:val="22"/>
              </w:rPr>
              <w:t>Cavan</w:t>
            </w:r>
          </w:p>
        </w:tc>
        <w:tc>
          <w:tcPr>
            <w:tcW w:w="2978" w:type="dxa"/>
            <w:shd w:val="clear" w:color="auto" w:fill="EDEBE0"/>
          </w:tcPr>
          <w:p>
            <w:pPr>
              <w:pStyle w:val="TableParagraph"/>
              <w:spacing w:line="250" w:lineRule="exact"/>
              <w:ind w:left="102"/>
              <w:rPr>
                <w:sz w:val="22"/>
              </w:rPr>
            </w:pPr>
            <w:r>
              <w:rPr>
                <w:sz w:val="22"/>
              </w:rPr>
              <w:t>10,000</w:t>
            </w:r>
          </w:p>
        </w:tc>
      </w:tr>
    </w:tbl>
    <w:p>
      <w:pPr>
        <w:pStyle w:val="BodyText"/>
        <w:rPr>
          <w:b/>
          <w:sz w:val="22"/>
        </w:rPr>
      </w:pPr>
    </w:p>
    <w:p>
      <w:pPr>
        <w:pStyle w:val="BodyText"/>
        <w:spacing w:before="11"/>
        <w:rPr>
          <w:b/>
          <w:sz w:val="22"/>
        </w:rPr>
      </w:pPr>
    </w:p>
    <w:p>
      <w:pPr>
        <w:pStyle w:val="BodyText"/>
        <w:spacing w:line="360" w:lineRule="auto"/>
        <w:ind w:left="230" w:right="427"/>
      </w:pPr>
      <w:r>
        <w:rPr/>
        <w:t>Population distribution and density is an important element in considering the</w:t>
      </w:r>
      <w:r>
        <w:rPr>
          <w:spacing w:val="-34"/>
        </w:rPr>
        <w:t> </w:t>
      </w:r>
      <w:r>
        <w:rPr/>
        <w:t>provision of community and sporting facilities in County Cavan. Services should follow population growth and</w:t>
      </w:r>
      <w:r>
        <w:rPr>
          <w:spacing w:val="-10"/>
        </w:rPr>
        <w:t> </w:t>
      </w:r>
      <w:r>
        <w:rPr/>
        <w:t>change.</w:t>
      </w:r>
    </w:p>
    <w:p>
      <w:pPr>
        <w:pStyle w:val="BodyText"/>
        <w:rPr>
          <w:sz w:val="26"/>
        </w:rPr>
      </w:pPr>
    </w:p>
    <w:p>
      <w:pPr>
        <w:pStyle w:val="BodyText"/>
        <w:spacing w:before="7"/>
        <w:rPr>
          <w:sz w:val="27"/>
        </w:rPr>
      </w:pPr>
    </w:p>
    <w:p>
      <w:pPr>
        <w:pStyle w:val="Heading3"/>
        <w:ind w:left="230"/>
        <w:rPr>
          <w:u w:val="none"/>
        </w:rPr>
      </w:pPr>
      <w:r>
        <w:rPr>
          <w:u w:val="none"/>
        </w:rPr>
        <w:t>Population Changes</w:t>
      </w:r>
    </w:p>
    <w:p>
      <w:pPr>
        <w:pStyle w:val="BodyText"/>
        <w:rPr>
          <w:b/>
          <w:sz w:val="26"/>
        </w:rPr>
      </w:pPr>
    </w:p>
    <w:p>
      <w:pPr>
        <w:pStyle w:val="BodyText"/>
        <w:spacing w:before="5"/>
        <w:rPr>
          <w:b/>
          <w:sz w:val="25"/>
        </w:rPr>
      </w:pPr>
    </w:p>
    <w:p>
      <w:pPr>
        <w:pStyle w:val="BodyText"/>
        <w:spacing w:line="415" w:lineRule="auto"/>
        <w:ind w:left="230" w:right="260"/>
        <w:rPr>
          <w:rFonts w:ascii="Helvetica"/>
        </w:rPr>
      </w:pPr>
      <w:r>
        <w:rPr>
          <w:rFonts w:ascii="Helvetica"/>
        </w:rPr>
        <w:t>The population of the county grew by 14.3 per cent between 2006 and 2011, nearly twice the growth rate for the State at 8.2 per cent. The population of the Border Region grew by 9.9 per cent in the same period.</w:t>
      </w:r>
    </w:p>
    <w:p>
      <w:pPr>
        <w:spacing w:after="0" w:line="415" w:lineRule="auto"/>
        <w:rPr>
          <w:rFonts w:ascii="Helvetica"/>
        </w:rPr>
        <w:sectPr>
          <w:pgSz w:w="11910" w:h="17340"/>
          <w:pgMar w:header="759" w:footer="1014" w:top="940" w:bottom="1200" w:left="1340" w:right="720"/>
        </w:sectPr>
      </w:pPr>
    </w:p>
    <w:p>
      <w:pPr>
        <w:pStyle w:val="BodyText"/>
        <w:rPr>
          <w:rFonts w:ascii="Helvetica"/>
          <w:sz w:val="18"/>
        </w:rPr>
      </w:pPr>
    </w:p>
    <w:p>
      <w:pPr>
        <w:pStyle w:val="BodyText"/>
        <w:spacing w:line="360" w:lineRule="auto" w:before="92"/>
        <w:ind w:left="110" w:right="87"/>
      </w:pPr>
      <w:r>
        <w:rPr/>
        <w:t>Figure 3 shows the percentage population changes in Cavan Electoral Division between 2006 and 2011. It is clearly evident that the population of the East of the County continues to grow at a much faster rate than that of the West. One of the biggest challenges we face is continuing to recognise and support the rural nature of the county while at the same time supporting the continued development of our towns and villages.</w:t>
      </w:r>
    </w:p>
    <w:p>
      <w:pPr>
        <w:pStyle w:val="BodyText"/>
        <w:rPr>
          <w:sz w:val="26"/>
        </w:rPr>
      </w:pPr>
    </w:p>
    <w:p>
      <w:pPr>
        <w:spacing w:before="168"/>
        <w:ind w:left="110" w:right="0" w:firstLine="0"/>
        <w:jc w:val="left"/>
        <w:rPr>
          <w:b/>
          <w:sz w:val="20"/>
        </w:rPr>
      </w:pPr>
      <w:r>
        <w:rPr>
          <w:b/>
          <w:sz w:val="20"/>
        </w:rPr>
        <w:t>Figure 3: Percentage population change in County Cavan 2006-2011</w:t>
      </w:r>
    </w:p>
    <w:p>
      <w:pPr>
        <w:pStyle w:val="BodyText"/>
        <w:spacing w:before="3"/>
        <w:rPr>
          <w:b/>
          <w:sz w:val="17"/>
        </w:rPr>
      </w:pPr>
      <w:r>
        <w:rPr/>
        <w:drawing>
          <wp:anchor distT="0" distB="0" distL="0" distR="0" allowOverlap="1" layoutInCell="1" locked="0" behindDoc="0" simplePos="0" relativeHeight="1120">
            <wp:simplePos x="0" y="0"/>
            <wp:positionH relativeFrom="page">
              <wp:posOffset>1015364</wp:posOffset>
            </wp:positionH>
            <wp:positionV relativeFrom="paragraph">
              <wp:posOffset>150999</wp:posOffset>
            </wp:positionV>
            <wp:extent cx="5691507" cy="2836926"/>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5691507" cy="2836926"/>
                    </a:xfrm>
                    <a:prstGeom prst="rect">
                      <a:avLst/>
                    </a:prstGeom>
                  </pic:spPr>
                </pic:pic>
              </a:graphicData>
            </a:graphic>
          </wp:anchor>
        </w:drawing>
      </w:r>
    </w:p>
    <w:p>
      <w:pPr>
        <w:spacing w:before="4"/>
        <w:ind w:left="110" w:right="0" w:firstLine="0"/>
        <w:jc w:val="left"/>
        <w:rPr>
          <w:sz w:val="20"/>
        </w:rPr>
      </w:pPr>
      <w:r>
        <w:rPr>
          <w:sz w:val="20"/>
        </w:rPr>
        <w:t>Source: AIRO Maynooth</w:t>
      </w:r>
    </w:p>
    <w:p>
      <w:pPr>
        <w:spacing w:after="0"/>
        <w:jc w:val="left"/>
        <w:rPr>
          <w:sz w:val="20"/>
        </w:rPr>
        <w:sectPr>
          <w:pgSz w:w="11910" w:h="17340"/>
          <w:pgMar w:header="759" w:footer="1014" w:top="940" w:bottom="1200" w:left="1460" w:right="1160"/>
        </w:sectPr>
      </w:pPr>
    </w:p>
    <w:p>
      <w:pPr>
        <w:pStyle w:val="BodyText"/>
        <w:spacing w:before="1"/>
        <w:rPr>
          <w:sz w:val="15"/>
        </w:rPr>
      </w:pPr>
    </w:p>
    <w:p>
      <w:pPr>
        <w:pStyle w:val="Heading1"/>
        <w:tabs>
          <w:tab w:pos="9349" w:val="left" w:leader="none"/>
        </w:tabs>
      </w:pPr>
      <w:bookmarkStart w:name="_TOC_250003" w:id="3"/>
      <w:r>
        <w:rPr>
          <w:shd w:fill="8DB3E1" w:color="auto" w:val="clear"/>
        </w:rPr>
        <w:t>Section 3:</w:t>
      </w:r>
      <w:r>
        <w:rPr>
          <w:spacing w:val="55"/>
          <w:shd w:fill="8DB3E1" w:color="auto" w:val="clear"/>
        </w:rPr>
        <w:t> </w:t>
      </w:r>
      <w:bookmarkEnd w:id="3"/>
      <w:r>
        <w:rPr>
          <w:shd w:fill="8DB3E1" w:color="auto" w:val="clear"/>
        </w:rPr>
        <w:t>Methodology</w:t>
        <w:tab/>
      </w:r>
    </w:p>
    <w:p>
      <w:pPr>
        <w:pStyle w:val="BodyText"/>
        <w:spacing w:before="1"/>
        <w:rPr>
          <w:rFonts w:ascii="Arial Black"/>
          <w:b/>
          <w:sz w:val="56"/>
        </w:rPr>
      </w:pPr>
    </w:p>
    <w:p>
      <w:pPr>
        <w:pStyle w:val="Heading3"/>
        <w:spacing w:before="1"/>
        <w:rPr>
          <w:u w:val="none"/>
        </w:rPr>
      </w:pPr>
      <w:r>
        <w:rPr>
          <w:u w:val="none"/>
        </w:rPr>
        <w:t>Definition of a Community Facility</w:t>
      </w:r>
    </w:p>
    <w:p>
      <w:pPr>
        <w:pStyle w:val="BodyText"/>
        <w:spacing w:before="10"/>
        <w:rPr>
          <w:b/>
          <w:sz w:val="20"/>
        </w:rPr>
      </w:pPr>
    </w:p>
    <w:p>
      <w:pPr>
        <w:pStyle w:val="BodyText"/>
        <w:spacing w:line="360" w:lineRule="auto"/>
        <w:ind w:left="110" w:right="388"/>
      </w:pPr>
      <w:r>
        <w:rPr/>
        <w:t>It is easier to identify a sporting facility but an indoor facility can be harder to define. For the purpose of this survey the following definition is used to define a community facility, as stipulated in the 2009 Community Facility Audit by the then Department of Environment, Heritage and Local Government.</w:t>
      </w:r>
    </w:p>
    <w:p>
      <w:pPr>
        <w:spacing w:line="360" w:lineRule="auto" w:before="202"/>
        <w:ind w:left="177" w:right="220" w:hanging="4"/>
        <w:jc w:val="center"/>
        <w:rPr>
          <w:i/>
          <w:sz w:val="24"/>
        </w:rPr>
      </w:pPr>
      <w:r>
        <w:rPr>
          <w:i/>
          <w:sz w:val="24"/>
        </w:rPr>
        <w:t>A ‘community facility’ is any indoor building or part thereof, which allows individuals to engage in active citizenship and where people gather to engage in voluntary activities of a civic or recreational nature with a view to creating a sense of community’.</w:t>
      </w:r>
    </w:p>
    <w:p>
      <w:pPr>
        <w:pStyle w:val="BodyText"/>
        <w:spacing w:line="360" w:lineRule="auto" w:before="204"/>
        <w:ind w:left="110" w:right="562"/>
      </w:pPr>
      <w:r>
        <w:rPr/>
        <w:t>The remit of this survey was widened from the last community survey in that sports facilities and any public building available for community groups to use were also included within this survey. The following requirements were used to determine the types of facilities to include in the survey.</w:t>
      </w:r>
    </w:p>
    <w:p>
      <w:pPr>
        <w:pStyle w:val="ListParagraph"/>
        <w:numPr>
          <w:ilvl w:val="1"/>
          <w:numId w:val="3"/>
        </w:numPr>
        <w:tabs>
          <w:tab w:pos="830" w:val="left" w:leader="none"/>
        </w:tabs>
        <w:spacing w:line="240" w:lineRule="auto" w:before="204" w:after="0"/>
        <w:ind w:left="830" w:right="0" w:hanging="360"/>
        <w:jc w:val="left"/>
        <w:rPr>
          <w:sz w:val="24"/>
        </w:rPr>
      </w:pPr>
      <w:r>
        <w:rPr>
          <w:sz w:val="24"/>
        </w:rPr>
        <w:t>They must be built indoor facilities (not necessarily purpose</w:t>
      </w:r>
      <w:r>
        <w:rPr>
          <w:spacing w:val="-28"/>
          <w:sz w:val="24"/>
        </w:rPr>
        <w:t> </w:t>
      </w:r>
      <w:r>
        <w:rPr>
          <w:sz w:val="24"/>
        </w:rPr>
        <w:t>built)</w:t>
      </w:r>
    </w:p>
    <w:p>
      <w:pPr>
        <w:pStyle w:val="ListParagraph"/>
        <w:numPr>
          <w:ilvl w:val="1"/>
          <w:numId w:val="3"/>
        </w:numPr>
        <w:tabs>
          <w:tab w:pos="830" w:val="left" w:leader="none"/>
        </w:tabs>
        <w:spacing w:line="240" w:lineRule="auto" w:before="136" w:after="0"/>
        <w:ind w:left="830" w:right="0" w:hanging="360"/>
        <w:jc w:val="left"/>
        <w:rPr>
          <w:sz w:val="24"/>
        </w:rPr>
      </w:pPr>
      <w:r>
        <w:rPr>
          <w:sz w:val="24"/>
        </w:rPr>
        <w:t>They must be run on a ‘not for profit’ basis therefore excluding pubs, hotels,</w:t>
      </w:r>
      <w:r>
        <w:rPr>
          <w:spacing w:val="-30"/>
          <w:sz w:val="24"/>
        </w:rPr>
        <w:t> </w:t>
      </w:r>
      <w:r>
        <w:rPr>
          <w:sz w:val="24"/>
        </w:rPr>
        <w:t>etc</w:t>
      </w:r>
    </w:p>
    <w:p>
      <w:pPr>
        <w:pStyle w:val="BodyText"/>
        <w:spacing w:before="4"/>
        <w:rPr>
          <w:sz w:val="29"/>
        </w:rPr>
      </w:pPr>
    </w:p>
    <w:p>
      <w:pPr>
        <w:pStyle w:val="BodyText"/>
        <w:spacing w:line="360" w:lineRule="auto" w:before="1"/>
        <w:ind w:left="110" w:right="175"/>
      </w:pPr>
      <w:r>
        <w:rPr/>
        <w:t>Various other facilities were excluded from the survey such as schools, health centres, outdoor amenities, hospitals etc.</w:t>
      </w:r>
    </w:p>
    <w:p>
      <w:pPr>
        <w:pStyle w:val="BodyText"/>
        <w:spacing w:before="204"/>
        <w:ind w:left="110"/>
      </w:pPr>
      <w:r>
        <w:rPr>
          <w:u w:val="single"/>
        </w:rPr>
        <w:t>Identifying Community &amp; Sporting Facilities</w:t>
      </w:r>
    </w:p>
    <w:p>
      <w:pPr>
        <w:pStyle w:val="BodyText"/>
        <w:spacing w:before="4"/>
        <w:rPr>
          <w:sz w:val="21"/>
        </w:rPr>
      </w:pPr>
    </w:p>
    <w:p>
      <w:pPr>
        <w:pStyle w:val="BodyText"/>
        <w:spacing w:line="360" w:lineRule="auto" w:before="92"/>
        <w:ind w:left="110" w:right="188"/>
      </w:pPr>
      <w:r>
        <w:rPr/>
        <w:t>The first step was to use the databases from the previous communities and sports audit conducted in 2009 to identify community and sporting facilities within the county. To update this audit in-house consultation were carried out with personnel of Cavan County Council including the arts section, sports and community and enterprise sections. The local development company Breffni Integrated Ltd, the two Family Resource Centres and the Public Participation Network were also consulted. Once the survey commenced widespread public advertisement was used to encourage a good response rate and encourage those community groups in ownership of facilities not already identified to come forward for inclusion.</w:t>
      </w:r>
    </w:p>
    <w:p>
      <w:pPr>
        <w:spacing w:after="0" w:line="360" w:lineRule="auto"/>
        <w:sectPr>
          <w:pgSz w:w="11910" w:h="17340"/>
          <w:pgMar w:header="759" w:footer="1014" w:top="940" w:bottom="1200" w:left="1460" w:right="980"/>
        </w:sectPr>
      </w:pPr>
    </w:p>
    <w:p>
      <w:pPr>
        <w:pStyle w:val="BodyText"/>
        <w:spacing w:before="7"/>
        <w:rPr>
          <w:sz w:val="15"/>
        </w:rPr>
      </w:pPr>
    </w:p>
    <w:p>
      <w:pPr>
        <w:pStyle w:val="BodyText"/>
        <w:spacing w:before="92"/>
        <w:ind w:left="110"/>
      </w:pPr>
      <w:r>
        <w:rPr>
          <w:u w:val="single"/>
        </w:rPr>
        <w:t>Research Method</w:t>
      </w:r>
    </w:p>
    <w:p>
      <w:pPr>
        <w:pStyle w:val="BodyText"/>
        <w:rPr>
          <w:sz w:val="20"/>
        </w:rPr>
      </w:pPr>
    </w:p>
    <w:p>
      <w:pPr>
        <w:pStyle w:val="BodyText"/>
        <w:spacing w:before="11"/>
        <w:rPr>
          <w:sz w:val="19"/>
        </w:rPr>
      </w:pPr>
    </w:p>
    <w:p>
      <w:pPr>
        <w:pStyle w:val="BodyText"/>
        <w:spacing w:line="360" w:lineRule="auto" w:before="92"/>
        <w:ind w:left="110" w:right="265"/>
      </w:pPr>
      <w:r>
        <w:rPr/>
        <w:t>The main method adopted for the survey was a ‘Survey Questionnaire’. The survey questionnaire dealt with size, location, facilities available, condition and management of facilities. A copy of the questionnaire drafted is attached in Appendix 3. The survey was posted out to the pre-identified database of community &amp; sports facilities with a pre-paid, stamped addressed envelope enclosed for completed questionnaires to be returned. The survey was also uploaded onto Survey Monkey and respondents had the option of completing the form through this means also.</w:t>
      </w:r>
    </w:p>
    <w:p>
      <w:pPr>
        <w:pStyle w:val="BodyText"/>
        <w:spacing w:before="7"/>
        <w:rPr>
          <w:sz w:val="38"/>
        </w:rPr>
      </w:pPr>
    </w:p>
    <w:p>
      <w:pPr>
        <w:pStyle w:val="BodyText"/>
        <w:spacing w:before="1"/>
        <w:ind w:left="110"/>
      </w:pPr>
      <w:r>
        <w:rPr>
          <w:u w:val="single"/>
        </w:rPr>
        <w:t>Data analysis</w:t>
      </w:r>
    </w:p>
    <w:p>
      <w:pPr>
        <w:pStyle w:val="BodyText"/>
        <w:rPr>
          <w:sz w:val="20"/>
        </w:rPr>
      </w:pPr>
    </w:p>
    <w:p>
      <w:pPr>
        <w:pStyle w:val="BodyText"/>
        <w:rPr>
          <w:sz w:val="20"/>
        </w:rPr>
      </w:pPr>
    </w:p>
    <w:p>
      <w:pPr>
        <w:pStyle w:val="BodyText"/>
        <w:spacing w:line="360" w:lineRule="auto" w:before="92"/>
        <w:ind w:left="110" w:right="495"/>
      </w:pPr>
      <w:r>
        <w:rPr/>
        <w:t>Data was inputted into Survey Monkey and MapInfo database for analysis. Outputs included charts, tables, maps and statistics.</w:t>
      </w:r>
    </w:p>
    <w:p>
      <w:pPr>
        <w:pStyle w:val="BodyText"/>
        <w:spacing w:before="3"/>
        <w:rPr>
          <w:sz w:val="36"/>
        </w:rPr>
      </w:pPr>
    </w:p>
    <w:p>
      <w:pPr>
        <w:pStyle w:val="BodyText"/>
        <w:ind w:left="110"/>
      </w:pPr>
      <w:r>
        <w:rPr>
          <w:u w:val="single"/>
        </w:rPr>
        <w:t>Report writing</w:t>
      </w:r>
    </w:p>
    <w:p>
      <w:pPr>
        <w:pStyle w:val="BodyText"/>
        <w:rPr>
          <w:sz w:val="20"/>
        </w:rPr>
      </w:pPr>
    </w:p>
    <w:p>
      <w:pPr>
        <w:pStyle w:val="BodyText"/>
        <w:spacing w:before="11"/>
        <w:rPr>
          <w:sz w:val="19"/>
        </w:rPr>
      </w:pPr>
    </w:p>
    <w:p>
      <w:pPr>
        <w:pStyle w:val="BodyText"/>
        <w:spacing w:line="360" w:lineRule="auto" w:before="92"/>
        <w:ind w:left="110" w:right="108"/>
      </w:pPr>
      <w:r>
        <w:rPr/>
        <w:t>The report was drafted and published by the Social Inclusion Unit within Cavan County Council.</w:t>
      </w:r>
    </w:p>
    <w:p>
      <w:pPr>
        <w:pStyle w:val="BodyText"/>
        <w:spacing w:before="3"/>
        <w:rPr>
          <w:sz w:val="36"/>
        </w:rPr>
      </w:pPr>
    </w:p>
    <w:p>
      <w:pPr>
        <w:pStyle w:val="BodyText"/>
        <w:spacing w:before="1"/>
        <w:ind w:left="110"/>
      </w:pPr>
      <w:r>
        <w:rPr/>
        <w:t>Data received was analysed both spatially and sectorally.</w:t>
      </w:r>
    </w:p>
    <w:p>
      <w:pPr>
        <w:pStyle w:val="ListParagraph"/>
        <w:numPr>
          <w:ilvl w:val="0"/>
          <w:numId w:val="4"/>
        </w:numPr>
        <w:tabs>
          <w:tab w:pos="829" w:val="left" w:leader="none"/>
          <w:tab w:pos="830" w:val="left" w:leader="none"/>
        </w:tabs>
        <w:spacing w:line="348" w:lineRule="auto" w:before="154" w:after="0"/>
        <w:ind w:left="830" w:right="104" w:hanging="360"/>
        <w:jc w:val="left"/>
        <w:rPr>
          <w:sz w:val="24"/>
        </w:rPr>
      </w:pPr>
      <w:r>
        <w:rPr>
          <w:sz w:val="24"/>
        </w:rPr>
        <w:t>Spatially - it was necessary to determine where community and voluntary infrastructure is located around the county and to determine how spatially accessible it is to concentrations of the populations in different towns and</w:t>
      </w:r>
      <w:r>
        <w:rPr>
          <w:spacing w:val="-20"/>
          <w:sz w:val="24"/>
        </w:rPr>
        <w:t> </w:t>
      </w:r>
      <w:r>
        <w:rPr>
          <w:sz w:val="24"/>
        </w:rPr>
        <w:t>areas.</w:t>
      </w:r>
    </w:p>
    <w:p>
      <w:pPr>
        <w:pStyle w:val="ListParagraph"/>
        <w:numPr>
          <w:ilvl w:val="0"/>
          <w:numId w:val="4"/>
        </w:numPr>
        <w:tabs>
          <w:tab w:pos="829" w:val="left" w:leader="none"/>
          <w:tab w:pos="830" w:val="left" w:leader="none"/>
        </w:tabs>
        <w:spacing w:line="345" w:lineRule="auto" w:before="36" w:after="0"/>
        <w:ind w:left="830" w:right="269" w:hanging="360"/>
        <w:jc w:val="left"/>
        <w:rPr>
          <w:sz w:val="24"/>
        </w:rPr>
      </w:pPr>
      <w:r>
        <w:rPr>
          <w:sz w:val="24"/>
        </w:rPr>
        <w:t>Sectorally - it was essential to examine how accessible this infrastructure is for a number of key sectors of the population and how well their needs are being met.</w:t>
      </w:r>
    </w:p>
    <w:p>
      <w:pPr>
        <w:spacing w:after="0" w:line="345" w:lineRule="auto"/>
        <w:jc w:val="left"/>
        <w:rPr>
          <w:sz w:val="24"/>
        </w:rPr>
        <w:sectPr>
          <w:pgSz w:w="11910" w:h="17340"/>
          <w:pgMar w:header="759" w:footer="1014" w:top="940" w:bottom="1200" w:left="1460" w:right="1020"/>
        </w:sectPr>
      </w:pPr>
    </w:p>
    <w:p>
      <w:pPr>
        <w:pStyle w:val="BodyText"/>
        <w:spacing w:before="7"/>
        <w:rPr>
          <w:sz w:val="15"/>
        </w:rPr>
      </w:pPr>
    </w:p>
    <w:p>
      <w:pPr>
        <w:pStyle w:val="BodyText"/>
        <w:spacing w:before="92"/>
        <w:ind w:left="110"/>
      </w:pPr>
      <w:r>
        <w:rPr>
          <w:u w:val="single"/>
        </w:rPr>
        <w:t>Approach</w:t>
      </w:r>
    </w:p>
    <w:p>
      <w:pPr>
        <w:pStyle w:val="BodyText"/>
        <w:rPr>
          <w:sz w:val="20"/>
        </w:rPr>
      </w:pPr>
    </w:p>
    <w:p>
      <w:pPr>
        <w:pStyle w:val="BodyText"/>
        <w:spacing w:before="11"/>
        <w:rPr>
          <w:sz w:val="19"/>
        </w:rPr>
      </w:pPr>
    </w:p>
    <w:p>
      <w:pPr>
        <w:pStyle w:val="BodyText"/>
        <w:spacing w:line="360" w:lineRule="auto" w:before="92"/>
        <w:ind w:left="110" w:right="95"/>
      </w:pPr>
      <w:r>
        <w:rPr/>
        <w:t>In consultation with the Community and Voluntary Sector Cavan County Council drafted a research methodology aimed at maximising questionnaire returns. This was facilitated through:</w:t>
      </w:r>
    </w:p>
    <w:p>
      <w:pPr>
        <w:pStyle w:val="BodyText"/>
        <w:spacing w:before="3"/>
        <w:rPr>
          <w:sz w:val="36"/>
        </w:rPr>
      </w:pPr>
    </w:p>
    <w:p>
      <w:pPr>
        <w:pStyle w:val="ListParagraph"/>
        <w:numPr>
          <w:ilvl w:val="0"/>
          <w:numId w:val="5"/>
        </w:numPr>
        <w:tabs>
          <w:tab w:pos="754" w:val="left" w:leader="none"/>
        </w:tabs>
        <w:spacing w:line="360" w:lineRule="auto" w:before="1" w:after="0"/>
        <w:ind w:left="753" w:right="738" w:hanging="360"/>
        <w:jc w:val="left"/>
        <w:rPr>
          <w:sz w:val="24"/>
        </w:rPr>
      </w:pPr>
      <w:r>
        <w:rPr>
          <w:sz w:val="24"/>
        </w:rPr>
        <w:t>Liaising with personnel of Breffni Integrated Ltd, the two Family</w:t>
      </w:r>
      <w:r>
        <w:rPr>
          <w:spacing w:val="-25"/>
          <w:sz w:val="24"/>
        </w:rPr>
        <w:t> </w:t>
      </w:r>
      <w:r>
        <w:rPr>
          <w:sz w:val="24"/>
        </w:rPr>
        <w:t>Resource Centres and the Public Participation</w:t>
      </w:r>
      <w:r>
        <w:rPr>
          <w:spacing w:val="-14"/>
          <w:sz w:val="24"/>
        </w:rPr>
        <w:t> </w:t>
      </w:r>
      <w:r>
        <w:rPr>
          <w:sz w:val="24"/>
        </w:rPr>
        <w:t>Network.</w:t>
      </w:r>
    </w:p>
    <w:p>
      <w:pPr>
        <w:pStyle w:val="ListParagraph"/>
        <w:numPr>
          <w:ilvl w:val="0"/>
          <w:numId w:val="5"/>
        </w:numPr>
        <w:tabs>
          <w:tab w:pos="754" w:val="left" w:leader="none"/>
        </w:tabs>
        <w:spacing w:line="240" w:lineRule="auto" w:before="171" w:after="0"/>
        <w:ind w:left="753" w:right="0" w:hanging="360"/>
        <w:jc w:val="left"/>
        <w:rPr>
          <w:sz w:val="24"/>
        </w:rPr>
      </w:pPr>
      <w:r>
        <w:rPr>
          <w:sz w:val="24"/>
        </w:rPr>
        <w:t>Circulating a press release in the local</w:t>
      </w:r>
      <w:r>
        <w:rPr>
          <w:spacing w:val="-12"/>
          <w:sz w:val="24"/>
        </w:rPr>
        <w:t> </w:t>
      </w:r>
      <w:r>
        <w:rPr>
          <w:sz w:val="24"/>
        </w:rPr>
        <w:t>newspaper.</w:t>
      </w:r>
    </w:p>
    <w:p>
      <w:pPr>
        <w:pStyle w:val="BodyText"/>
        <w:spacing w:before="5"/>
        <w:rPr>
          <w:sz w:val="26"/>
        </w:rPr>
      </w:pPr>
    </w:p>
    <w:p>
      <w:pPr>
        <w:pStyle w:val="ListParagraph"/>
        <w:numPr>
          <w:ilvl w:val="0"/>
          <w:numId w:val="5"/>
        </w:numPr>
        <w:tabs>
          <w:tab w:pos="754" w:val="left" w:leader="none"/>
        </w:tabs>
        <w:spacing w:line="360" w:lineRule="auto" w:before="0" w:after="0"/>
        <w:ind w:left="753" w:right="308" w:hanging="360"/>
        <w:jc w:val="left"/>
        <w:rPr>
          <w:sz w:val="24"/>
        </w:rPr>
      </w:pPr>
      <w:r>
        <w:rPr>
          <w:sz w:val="24"/>
        </w:rPr>
        <w:t>An advertisement and copy of the questionnaire was placed on the following local websites: Cavan County Council, the PPN and westcavan.ie. Also using social media sources to promote the</w:t>
      </w:r>
      <w:r>
        <w:rPr>
          <w:spacing w:val="-21"/>
          <w:sz w:val="24"/>
        </w:rPr>
        <w:t> </w:t>
      </w:r>
      <w:r>
        <w:rPr>
          <w:sz w:val="24"/>
        </w:rPr>
        <w:t>survey.</w:t>
      </w:r>
    </w:p>
    <w:p>
      <w:pPr>
        <w:pStyle w:val="ListParagraph"/>
        <w:numPr>
          <w:ilvl w:val="0"/>
          <w:numId w:val="5"/>
        </w:numPr>
        <w:tabs>
          <w:tab w:pos="754" w:val="left" w:leader="none"/>
        </w:tabs>
        <w:spacing w:line="360" w:lineRule="auto" w:before="170" w:after="0"/>
        <w:ind w:left="753" w:right="110" w:hanging="360"/>
        <w:jc w:val="left"/>
        <w:rPr>
          <w:sz w:val="24"/>
        </w:rPr>
      </w:pPr>
      <w:r>
        <w:rPr>
          <w:sz w:val="24"/>
        </w:rPr>
        <w:t>One hundred and sixty questionnaires were directly issued to groups identified as having ownership over community and sporting facilities within the county. A pre-paid stamped addressed envelope was enclosed for easy return of completed</w:t>
      </w:r>
      <w:r>
        <w:rPr>
          <w:spacing w:val="-7"/>
          <w:sz w:val="24"/>
        </w:rPr>
        <w:t> </w:t>
      </w:r>
      <w:r>
        <w:rPr>
          <w:sz w:val="24"/>
        </w:rPr>
        <w:t>forms.</w:t>
      </w:r>
    </w:p>
    <w:p>
      <w:pPr>
        <w:pStyle w:val="ListParagraph"/>
        <w:numPr>
          <w:ilvl w:val="0"/>
          <w:numId w:val="5"/>
        </w:numPr>
        <w:tabs>
          <w:tab w:pos="754" w:val="left" w:leader="none"/>
        </w:tabs>
        <w:spacing w:line="360" w:lineRule="auto" w:before="2" w:after="0"/>
        <w:ind w:left="753" w:right="391" w:hanging="360"/>
        <w:jc w:val="left"/>
        <w:rPr>
          <w:sz w:val="24"/>
        </w:rPr>
      </w:pPr>
      <w:r>
        <w:rPr>
          <w:sz w:val="24"/>
        </w:rPr>
        <w:t>Survey Monkey was also used and advertised as a method for</w:t>
      </w:r>
      <w:r>
        <w:rPr>
          <w:spacing w:val="-30"/>
          <w:sz w:val="24"/>
        </w:rPr>
        <w:t> </w:t>
      </w:r>
      <w:r>
        <w:rPr>
          <w:sz w:val="24"/>
        </w:rPr>
        <w:t>questionnaire completion.</w:t>
      </w:r>
    </w:p>
    <w:p>
      <w:pPr>
        <w:pStyle w:val="ListParagraph"/>
        <w:numPr>
          <w:ilvl w:val="0"/>
          <w:numId w:val="5"/>
        </w:numPr>
        <w:tabs>
          <w:tab w:pos="754" w:val="left" w:leader="none"/>
        </w:tabs>
        <w:spacing w:line="360" w:lineRule="auto" w:before="2" w:after="0"/>
        <w:ind w:left="753" w:right="499" w:hanging="360"/>
        <w:jc w:val="left"/>
        <w:rPr>
          <w:sz w:val="24"/>
        </w:rPr>
      </w:pPr>
      <w:r>
        <w:rPr>
          <w:sz w:val="24"/>
        </w:rPr>
        <w:t>For all unreturned questionnaires, follow up telephone calls were made</w:t>
      </w:r>
      <w:r>
        <w:rPr>
          <w:spacing w:val="-27"/>
          <w:sz w:val="24"/>
        </w:rPr>
        <w:t> </w:t>
      </w:r>
      <w:r>
        <w:rPr>
          <w:sz w:val="24"/>
        </w:rPr>
        <w:t>with some telephone interviews being carried out where</w:t>
      </w:r>
      <w:r>
        <w:rPr>
          <w:spacing w:val="-22"/>
          <w:sz w:val="24"/>
        </w:rPr>
        <w:t> </w:t>
      </w:r>
      <w:r>
        <w:rPr>
          <w:sz w:val="24"/>
        </w:rPr>
        <w:t>necessary.</w:t>
      </w:r>
    </w:p>
    <w:p>
      <w:pPr>
        <w:spacing w:after="0" w:line="360" w:lineRule="auto"/>
        <w:jc w:val="left"/>
        <w:rPr>
          <w:sz w:val="24"/>
        </w:rPr>
        <w:sectPr>
          <w:pgSz w:w="11910" w:h="17340"/>
          <w:pgMar w:header="759" w:footer="1014" w:top="940" w:bottom="1200" w:left="1460" w:right="1180"/>
        </w:sectPr>
      </w:pPr>
    </w:p>
    <w:p>
      <w:pPr>
        <w:pStyle w:val="BodyText"/>
        <w:spacing w:before="1"/>
        <w:rPr>
          <w:sz w:val="15"/>
        </w:rPr>
      </w:pPr>
    </w:p>
    <w:p>
      <w:pPr>
        <w:pStyle w:val="Heading1"/>
        <w:tabs>
          <w:tab w:pos="9349" w:val="left" w:leader="none"/>
        </w:tabs>
      </w:pPr>
      <w:bookmarkStart w:name="_TOC_250002" w:id="4"/>
      <w:r>
        <w:rPr>
          <w:shd w:fill="8DB3E1" w:color="auto" w:val="clear"/>
        </w:rPr>
        <w:t>Section 4: Spatial Analysis of</w:t>
      </w:r>
      <w:r>
        <w:rPr>
          <w:spacing w:val="-8"/>
          <w:shd w:fill="8DB3E1" w:color="auto" w:val="clear"/>
        </w:rPr>
        <w:t> </w:t>
      </w:r>
      <w:bookmarkEnd w:id="4"/>
      <w:r>
        <w:rPr>
          <w:shd w:fill="8DB3E1" w:color="auto" w:val="clear"/>
        </w:rPr>
        <w:t>Data</w:t>
        <w:tab/>
      </w:r>
    </w:p>
    <w:p>
      <w:pPr>
        <w:pStyle w:val="BodyText"/>
        <w:spacing w:before="1"/>
        <w:rPr>
          <w:rFonts w:ascii="Arial Black"/>
          <w:b/>
          <w:sz w:val="47"/>
        </w:rPr>
      </w:pPr>
    </w:p>
    <w:p>
      <w:pPr>
        <w:pStyle w:val="BodyText"/>
        <w:spacing w:line="360" w:lineRule="auto"/>
        <w:ind w:left="110" w:right="161"/>
      </w:pPr>
      <w:r>
        <w:rPr/>
        <w:t>In this section the information collected is visualized spatially using GIS. Analyzing access to and distribution of facilities is key to ensuring that all communities have adequate facilities. As such this audit analyses the data gathered on facilities spatially using mapinfo programme. Mapinfo is a GIS programme used for the mapping of data.</w:t>
      </w:r>
    </w:p>
    <w:p>
      <w:pPr>
        <w:pStyle w:val="BodyText"/>
        <w:spacing w:before="3"/>
        <w:rPr>
          <w:sz w:val="36"/>
        </w:rPr>
      </w:pPr>
    </w:p>
    <w:p>
      <w:pPr>
        <w:pStyle w:val="BodyText"/>
        <w:ind w:left="110"/>
      </w:pPr>
      <w:r>
        <w:rPr/>
        <w:t>For the purpose of analysing data spatially three maps have been generated:</w:t>
      </w:r>
    </w:p>
    <w:p>
      <w:pPr>
        <w:pStyle w:val="ListParagraph"/>
        <w:numPr>
          <w:ilvl w:val="0"/>
          <w:numId w:val="6"/>
        </w:numPr>
        <w:tabs>
          <w:tab w:pos="829" w:val="left" w:leader="none"/>
          <w:tab w:pos="830" w:val="left" w:leader="none"/>
        </w:tabs>
        <w:spacing w:line="240" w:lineRule="auto" w:before="153" w:after="0"/>
        <w:ind w:left="110" w:right="0" w:firstLine="360"/>
        <w:jc w:val="left"/>
        <w:rPr>
          <w:sz w:val="24"/>
        </w:rPr>
      </w:pPr>
      <w:r>
        <w:rPr>
          <w:sz w:val="24"/>
        </w:rPr>
        <w:t>Geographic location of</w:t>
      </w:r>
      <w:r>
        <w:rPr>
          <w:spacing w:val="-7"/>
          <w:sz w:val="24"/>
        </w:rPr>
        <w:t> </w:t>
      </w:r>
      <w:r>
        <w:rPr>
          <w:sz w:val="24"/>
        </w:rPr>
        <w:t>facilities</w:t>
      </w:r>
    </w:p>
    <w:p>
      <w:pPr>
        <w:pStyle w:val="ListParagraph"/>
        <w:numPr>
          <w:ilvl w:val="0"/>
          <w:numId w:val="6"/>
        </w:numPr>
        <w:tabs>
          <w:tab w:pos="829" w:val="left" w:leader="none"/>
          <w:tab w:pos="830" w:val="left" w:leader="none"/>
        </w:tabs>
        <w:spacing w:line="240" w:lineRule="auto" w:before="134" w:after="0"/>
        <w:ind w:left="110" w:right="0" w:firstLine="360"/>
        <w:jc w:val="left"/>
        <w:rPr>
          <w:sz w:val="24"/>
        </w:rPr>
      </w:pPr>
      <w:r>
        <w:rPr>
          <w:sz w:val="24"/>
        </w:rPr>
        <w:t>Demographic</w:t>
      </w:r>
      <w:r>
        <w:rPr>
          <w:spacing w:val="-10"/>
          <w:sz w:val="24"/>
        </w:rPr>
        <w:t> </w:t>
      </w:r>
      <w:r>
        <w:rPr>
          <w:sz w:val="24"/>
        </w:rPr>
        <w:t>movement</w:t>
      </w:r>
    </w:p>
    <w:p>
      <w:pPr>
        <w:pStyle w:val="ListParagraph"/>
        <w:numPr>
          <w:ilvl w:val="0"/>
          <w:numId w:val="6"/>
        </w:numPr>
        <w:tabs>
          <w:tab w:pos="829" w:val="left" w:leader="none"/>
          <w:tab w:pos="830" w:val="left" w:leader="none"/>
        </w:tabs>
        <w:spacing w:line="667" w:lineRule="auto" w:before="132" w:after="0"/>
        <w:ind w:left="110" w:right="1323" w:firstLine="360"/>
        <w:jc w:val="left"/>
        <w:rPr>
          <w:sz w:val="24"/>
        </w:rPr>
      </w:pPr>
      <w:r>
        <w:rPr>
          <w:sz w:val="24"/>
        </w:rPr>
        <w:t>Sports Groups in Cavan Town &amp; Current Sporting Facilities Available</w:t>
      </w:r>
      <w:r>
        <w:rPr>
          <w:sz w:val="24"/>
          <w:u w:val="single"/>
        </w:rPr>
        <w:t> Geographic</w:t>
      </w:r>
      <w:r>
        <w:rPr>
          <w:spacing w:val="-7"/>
          <w:sz w:val="24"/>
          <w:u w:val="single"/>
        </w:rPr>
        <w:t> </w:t>
      </w:r>
      <w:r>
        <w:rPr>
          <w:sz w:val="24"/>
          <w:u w:val="single"/>
        </w:rPr>
        <w:t>Location</w:t>
      </w:r>
    </w:p>
    <w:p>
      <w:pPr>
        <w:pStyle w:val="BodyText"/>
        <w:spacing w:line="360" w:lineRule="auto" w:before="74"/>
        <w:ind w:left="110" w:right="134"/>
      </w:pPr>
      <w:r>
        <w:rPr/>
        <w:t>Figure 4 displays the current level of provision of facilities within the county broken down by the type of facility. The map displays the location of the identified 125 facilities by facility type. So there are 76 ‘Community’ facilities, 26 ‘Sports’ facilities and 23 ‘Community &amp; Sports’ facilities plotted on the map.</w:t>
      </w:r>
    </w:p>
    <w:p>
      <w:pPr>
        <w:pStyle w:val="BodyText"/>
        <w:spacing w:before="3"/>
        <w:rPr>
          <w:sz w:val="36"/>
        </w:rPr>
      </w:pPr>
    </w:p>
    <w:p>
      <w:pPr>
        <w:pStyle w:val="BodyText"/>
        <w:spacing w:line="360" w:lineRule="auto"/>
        <w:ind w:left="110" w:right="295"/>
      </w:pPr>
      <w:r>
        <w:rPr/>
        <w:t>The map demonstrates a fairly even distribution of facilities throughout the county; however it can be seen that there is a lack of community and especially sporting facilities in particular to the west of the county when compared to the central and east areas.</w:t>
      </w:r>
    </w:p>
    <w:p>
      <w:pPr>
        <w:spacing w:after="0" w:line="360" w:lineRule="auto"/>
        <w:sectPr>
          <w:footerReference w:type="default" r:id="rId12"/>
          <w:pgSz w:w="11910" w:h="17340"/>
          <w:pgMar w:footer="1014" w:header="759" w:top="940" w:bottom="1200" w:left="1460" w:right="980"/>
        </w:sectPr>
      </w:pPr>
    </w:p>
    <w:p>
      <w:pPr>
        <w:spacing w:before="35"/>
        <w:ind w:left="107" w:right="0" w:firstLine="0"/>
        <w:jc w:val="left"/>
        <w:rPr>
          <w:sz w:val="20"/>
        </w:rPr>
      </w:pPr>
      <w:r>
        <w:rPr>
          <w:w w:val="90"/>
          <w:sz w:val="20"/>
        </w:rPr>
        <w:t>County Cavan Community &amp; Sports Facilities Survey 2016</w:t>
      </w:r>
    </w:p>
    <w:p>
      <w:pPr>
        <w:pStyle w:val="BodyText"/>
        <w:rPr>
          <w:sz w:val="20"/>
        </w:rPr>
      </w:pPr>
    </w:p>
    <w:p>
      <w:pPr>
        <w:pStyle w:val="BodyText"/>
        <w:spacing w:before="2"/>
        <w:rPr>
          <w:sz w:val="25"/>
        </w:rPr>
      </w:pPr>
    </w:p>
    <w:p>
      <w:pPr>
        <w:spacing w:before="92"/>
        <w:ind w:left="107" w:right="0" w:firstLine="0"/>
        <w:jc w:val="left"/>
        <w:rPr>
          <w:b/>
          <w:sz w:val="20"/>
        </w:rPr>
      </w:pPr>
      <w:r>
        <w:rPr/>
        <w:drawing>
          <wp:anchor distT="0" distB="0" distL="0" distR="0" allowOverlap="1" layoutInCell="1" locked="0" behindDoc="0" simplePos="0" relativeHeight="1144">
            <wp:simplePos x="0" y="0"/>
            <wp:positionH relativeFrom="page">
              <wp:posOffset>1620647</wp:posOffset>
            </wp:positionH>
            <wp:positionV relativeFrom="paragraph">
              <wp:posOffset>280261</wp:posOffset>
            </wp:positionV>
            <wp:extent cx="7500010" cy="5293233"/>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5" cstate="print"/>
                    <a:stretch>
                      <a:fillRect/>
                    </a:stretch>
                  </pic:blipFill>
                  <pic:spPr>
                    <a:xfrm>
                      <a:off x="0" y="0"/>
                      <a:ext cx="7500010" cy="5293233"/>
                    </a:xfrm>
                    <a:prstGeom prst="rect">
                      <a:avLst/>
                    </a:prstGeom>
                  </pic:spPr>
                </pic:pic>
              </a:graphicData>
            </a:graphic>
          </wp:anchor>
        </w:drawing>
      </w:r>
      <w:r>
        <w:rPr>
          <w:b/>
          <w:sz w:val="20"/>
        </w:rPr>
        <w:t>Figure 4: Geographic distribution of the facilities</w:t>
      </w:r>
    </w:p>
    <w:p>
      <w:pPr>
        <w:pStyle w:val="BodyText"/>
        <w:spacing w:before="3"/>
        <w:rPr>
          <w:b/>
          <w:sz w:val="32"/>
        </w:rPr>
      </w:pPr>
    </w:p>
    <w:p>
      <w:pPr>
        <w:spacing w:before="1"/>
        <w:ind w:left="7741" w:right="6274" w:firstLine="0"/>
        <w:jc w:val="center"/>
        <w:rPr>
          <w:sz w:val="22"/>
        </w:rPr>
      </w:pPr>
      <w:r>
        <w:rPr>
          <w:sz w:val="22"/>
        </w:rPr>
        <w:t>11</w:t>
      </w:r>
    </w:p>
    <w:p>
      <w:pPr>
        <w:spacing w:after="0"/>
        <w:jc w:val="center"/>
        <w:rPr>
          <w:sz w:val="22"/>
        </w:rPr>
        <w:sectPr>
          <w:headerReference w:type="default" r:id="rId13"/>
          <w:footerReference w:type="default" r:id="rId14"/>
          <w:pgSz w:w="17340" w:h="11910" w:orient="landscape"/>
          <w:pgMar w:header="0" w:footer="0" w:top="680" w:bottom="280" w:left="540" w:right="2500"/>
        </w:sectPr>
      </w:pPr>
    </w:p>
    <w:p>
      <w:pPr>
        <w:spacing w:before="44"/>
        <w:ind w:left="110" w:right="0" w:firstLine="0"/>
        <w:jc w:val="left"/>
        <w:rPr>
          <w:sz w:val="20"/>
        </w:rPr>
      </w:pPr>
      <w:r>
        <w:rPr>
          <w:w w:val="90"/>
          <w:sz w:val="20"/>
        </w:rPr>
        <w:t>County Cavan Community &amp; Sports Facilities Survey 2016</w:t>
      </w:r>
    </w:p>
    <w:p>
      <w:pPr>
        <w:pStyle w:val="BodyText"/>
        <w:rPr>
          <w:sz w:val="20"/>
        </w:rPr>
      </w:pPr>
    </w:p>
    <w:p>
      <w:pPr>
        <w:pStyle w:val="BodyText"/>
        <w:rPr>
          <w:sz w:val="20"/>
        </w:rPr>
      </w:pPr>
    </w:p>
    <w:p>
      <w:pPr>
        <w:pStyle w:val="BodyText"/>
        <w:spacing w:before="232"/>
        <w:ind w:left="110"/>
      </w:pPr>
      <w:r>
        <w:rPr>
          <w:u w:val="single"/>
        </w:rPr>
        <w:t>Demographic Movement</w:t>
      </w:r>
    </w:p>
    <w:p>
      <w:pPr>
        <w:pStyle w:val="BodyText"/>
        <w:rPr>
          <w:sz w:val="20"/>
        </w:rPr>
      </w:pPr>
    </w:p>
    <w:p>
      <w:pPr>
        <w:pStyle w:val="BodyText"/>
        <w:spacing w:before="10"/>
        <w:rPr>
          <w:sz w:val="19"/>
        </w:rPr>
      </w:pPr>
    </w:p>
    <w:p>
      <w:pPr>
        <w:pStyle w:val="BodyText"/>
        <w:spacing w:line="360" w:lineRule="auto" w:before="93"/>
        <w:ind w:left="110" w:right="102"/>
      </w:pPr>
      <w:r>
        <w:rPr/>
        <w:t>Figure 6 demonstrates the population changes within the county over the last census period 2006 to 2011. It highlights that certain areas of the county are falling behind in terms of meeting the need for new facilities to match their growing population levels. Particular areas where this is very obvious are those located along the southern eastern border of the county where there has been a significant increase in the population levels. The electoral divisions of Enniskeen, Lisagoan and Taghart (surrounding the Kingscourt electoral division) all show large increases in population but are not serviced by any facilities. Munterconnaught also had no reported facilities. The town of Ballyjamesduff has also experienced a large increase in its population however it still has, according to the findings of the survey, only one community centre to cater for the needs of this area.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spacing w:before="59"/>
        <w:ind w:left="3563" w:right="3497" w:firstLine="0"/>
        <w:jc w:val="center"/>
        <w:rPr>
          <w:sz w:val="22"/>
        </w:rPr>
      </w:pPr>
      <w:r>
        <w:rPr>
          <w:sz w:val="22"/>
        </w:rPr>
        <w:t>12</w:t>
      </w:r>
    </w:p>
    <w:p>
      <w:pPr>
        <w:spacing w:after="0"/>
        <w:jc w:val="center"/>
        <w:rPr>
          <w:sz w:val="22"/>
        </w:rPr>
        <w:sectPr>
          <w:headerReference w:type="default" r:id="rId16"/>
          <w:footerReference w:type="default" r:id="rId17"/>
          <w:pgSz w:w="11910" w:h="17340"/>
          <w:pgMar w:header="0" w:footer="0" w:top="660" w:bottom="280" w:left="1460" w:right="1080"/>
        </w:sectPr>
      </w:pPr>
    </w:p>
    <w:p>
      <w:pPr>
        <w:spacing w:before="35"/>
        <w:ind w:left="107" w:right="0" w:firstLine="0"/>
        <w:jc w:val="left"/>
        <w:rPr>
          <w:sz w:val="20"/>
        </w:rPr>
      </w:pPr>
      <w:r>
        <w:rPr>
          <w:w w:val="90"/>
          <w:sz w:val="20"/>
        </w:rPr>
        <w:t>County Cavan Community &amp; Sports Facilities Survey 2016</w:t>
      </w:r>
    </w:p>
    <w:p>
      <w:pPr>
        <w:pStyle w:val="BodyText"/>
        <w:rPr>
          <w:sz w:val="20"/>
        </w:rPr>
      </w:pPr>
    </w:p>
    <w:p>
      <w:pPr>
        <w:pStyle w:val="BodyText"/>
        <w:spacing w:before="4"/>
        <w:rPr>
          <w:sz w:val="25"/>
        </w:rPr>
      </w:pPr>
    </w:p>
    <w:p>
      <w:pPr>
        <w:spacing w:before="93"/>
        <w:ind w:left="107" w:right="0" w:firstLine="0"/>
        <w:jc w:val="left"/>
        <w:rPr>
          <w:b/>
          <w:sz w:val="20"/>
        </w:rPr>
      </w:pPr>
      <w:r>
        <w:rPr>
          <w:b/>
          <w:sz w:val="20"/>
        </w:rPr>
        <w:t>Figure 6: Population changes</w:t>
      </w:r>
    </w:p>
    <w:p>
      <w:pPr>
        <w:pStyle w:val="BodyText"/>
        <w:spacing w:before="2"/>
        <w:rPr>
          <w:b/>
          <w:sz w:val="17"/>
        </w:rPr>
      </w:pPr>
      <w:r>
        <w:rPr/>
        <w:drawing>
          <wp:anchor distT="0" distB="0" distL="0" distR="0" allowOverlap="1" layoutInCell="1" locked="0" behindDoc="0" simplePos="0" relativeHeight="1168">
            <wp:simplePos x="0" y="0"/>
            <wp:positionH relativeFrom="page">
              <wp:posOffset>1195832</wp:posOffset>
            </wp:positionH>
            <wp:positionV relativeFrom="paragraph">
              <wp:posOffset>150432</wp:posOffset>
            </wp:positionV>
            <wp:extent cx="8329837" cy="5213032"/>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0" cstate="print"/>
                    <a:stretch>
                      <a:fillRect/>
                    </a:stretch>
                  </pic:blipFill>
                  <pic:spPr>
                    <a:xfrm>
                      <a:off x="0" y="0"/>
                      <a:ext cx="8329837" cy="5213032"/>
                    </a:xfrm>
                    <a:prstGeom prst="rect">
                      <a:avLst/>
                    </a:prstGeom>
                  </pic:spPr>
                </pic:pic>
              </a:graphicData>
            </a:graphic>
          </wp:anchor>
        </w:drawing>
      </w:r>
    </w:p>
    <w:p>
      <w:pPr>
        <w:pStyle w:val="BodyText"/>
        <w:spacing w:before="10"/>
        <w:rPr>
          <w:b/>
          <w:sz w:val="32"/>
        </w:rPr>
      </w:pPr>
    </w:p>
    <w:p>
      <w:pPr>
        <w:spacing w:before="0"/>
        <w:ind w:left="7741" w:right="6514" w:firstLine="0"/>
        <w:jc w:val="center"/>
        <w:rPr>
          <w:sz w:val="22"/>
        </w:rPr>
      </w:pPr>
      <w:r>
        <w:rPr>
          <w:sz w:val="22"/>
        </w:rPr>
        <w:t>13</w:t>
      </w:r>
    </w:p>
    <w:p>
      <w:pPr>
        <w:spacing w:after="0"/>
        <w:jc w:val="center"/>
        <w:rPr>
          <w:sz w:val="22"/>
        </w:rPr>
        <w:sectPr>
          <w:headerReference w:type="default" r:id="rId18"/>
          <w:footerReference w:type="default" r:id="rId19"/>
          <w:pgSz w:w="17340" w:h="11910" w:orient="landscape"/>
          <w:pgMar w:header="0" w:footer="0" w:top="680" w:bottom="280" w:left="540" w:right="2260"/>
        </w:sectPr>
      </w:pPr>
    </w:p>
    <w:p>
      <w:pPr>
        <w:pStyle w:val="BodyText"/>
        <w:spacing w:before="7"/>
        <w:rPr>
          <w:sz w:val="15"/>
        </w:rPr>
      </w:pPr>
    </w:p>
    <w:p>
      <w:pPr>
        <w:pStyle w:val="BodyText"/>
        <w:spacing w:line="360" w:lineRule="auto" w:before="92"/>
        <w:ind w:left="110" w:right="515"/>
      </w:pPr>
      <w:r>
        <w:rPr>
          <w:u w:val="single"/>
        </w:rPr>
        <w:t>Distribution of Sporting Group/Organisations within the Cavan Town Boundary and</w:t>
      </w:r>
      <w:r>
        <w:rPr/>
        <w:t> </w:t>
      </w:r>
      <w:r>
        <w:rPr>
          <w:u w:val="single"/>
        </w:rPr>
        <w:t>Sporting Facilities Available</w:t>
      </w:r>
    </w:p>
    <w:p>
      <w:pPr>
        <w:pStyle w:val="BodyText"/>
        <w:spacing w:before="3"/>
        <w:rPr>
          <w:sz w:val="28"/>
        </w:rPr>
      </w:pPr>
    </w:p>
    <w:p>
      <w:pPr>
        <w:pStyle w:val="BodyText"/>
        <w:spacing w:line="360" w:lineRule="auto" w:before="92"/>
        <w:ind w:left="110" w:right="102"/>
      </w:pPr>
      <w:r>
        <w:rPr/>
        <w:t>It was decided to carry out a more in depth analysis into the Cavan Town area as it would have one of the largest concentrations of sporting groups/organisations within the County. As of January 2016 Cavan Sports Partnership had 26 sporting groups based in Cavan town registered with them. These groups are displayed on Map 5 against those facilities within Cavan Town which identified themselves as sporting facilities, 6 in total. As the map demonstrates there is clearly a lack of sporting facilities available within and around the town to meet the needs of all the sporting groups based there. Also many of those sporting facilities that are available only cater for one type of sport only, with the exception of the Cavan Sport and Leisure CLG (Cavan Leisure Centre).</w:t>
      </w:r>
    </w:p>
    <w:p>
      <w:pPr>
        <w:spacing w:after="0" w:line="360" w:lineRule="auto"/>
        <w:sectPr>
          <w:headerReference w:type="default" r:id="rId21"/>
          <w:footerReference w:type="default" r:id="rId22"/>
          <w:pgSz w:w="11910" w:h="17340"/>
          <w:pgMar w:header="759" w:footer="1014" w:top="940" w:bottom="1200" w:left="1460" w:right="1040"/>
          <w:pgNumType w:start="14"/>
        </w:sectPr>
      </w:pPr>
    </w:p>
    <w:p>
      <w:pPr>
        <w:pStyle w:val="BodyText"/>
        <w:spacing w:before="3"/>
        <w:rPr>
          <w:sz w:val="15"/>
        </w:rPr>
      </w:pPr>
    </w:p>
    <w:p>
      <w:pPr>
        <w:spacing w:before="93"/>
        <w:ind w:left="110" w:right="0" w:firstLine="0"/>
        <w:jc w:val="left"/>
        <w:rPr>
          <w:b/>
          <w:sz w:val="20"/>
        </w:rPr>
      </w:pPr>
      <w:r>
        <w:rPr>
          <w:b/>
          <w:sz w:val="20"/>
        </w:rPr>
        <w:t>Figure 5: Sports Groups in Cavan Town &amp; Current Sporting Facilities Available</w:t>
      </w:r>
    </w:p>
    <w:p>
      <w:pPr>
        <w:pStyle w:val="BodyText"/>
        <w:rPr>
          <w:b/>
          <w:sz w:val="20"/>
        </w:rPr>
      </w:pPr>
    </w:p>
    <w:p>
      <w:pPr>
        <w:pStyle w:val="BodyText"/>
        <w:spacing w:before="10"/>
        <w:rPr>
          <w:b/>
          <w:sz w:val="16"/>
        </w:rPr>
      </w:pPr>
      <w:r>
        <w:rPr/>
        <w:drawing>
          <wp:anchor distT="0" distB="0" distL="0" distR="0" allowOverlap="1" layoutInCell="1" locked="0" behindDoc="0" simplePos="0" relativeHeight="1192">
            <wp:simplePos x="0" y="0"/>
            <wp:positionH relativeFrom="page">
              <wp:posOffset>1015364</wp:posOffset>
            </wp:positionH>
            <wp:positionV relativeFrom="paragraph">
              <wp:posOffset>148539</wp:posOffset>
            </wp:positionV>
            <wp:extent cx="5919051" cy="6949440"/>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3" cstate="print"/>
                    <a:stretch>
                      <a:fillRect/>
                    </a:stretch>
                  </pic:blipFill>
                  <pic:spPr>
                    <a:xfrm>
                      <a:off x="0" y="0"/>
                      <a:ext cx="5919051" cy="6949440"/>
                    </a:xfrm>
                    <a:prstGeom prst="rect">
                      <a:avLst/>
                    </a:prstGeom>
                  </pic:spPr>
                </pic:pic>
              </a:graphicData>
            </a:graphic>
          </wp:anchor>
        </w:drawing>
      </w:r>
    </w:p>
    <w:p>
      <w:pPr>
        <w:spacing w:after="0"/>
        <w:rPr>
          <w:sz w:val="16"/>
        </w:rPr>
        <w:sectPr>
          <w:pgSz w:w="11910" w:h="17340"/>
          <w:pgMar w:header="759" w:footer="1014" w:top="940" w:bottom="1200" w:left="1460" w:right="880"/>
        </w:sectPr>
      </w:pPr>
    </w:p>
    <w:p>
      <w:pPr>
        <w:pStyle w:val="BodyText"/>
        <w:spacing w:before="1"/>
        <w:rPr>
          <w:b/>
          <w:sz w:val="15"/>
        </w:rPr>
      </w:pPr>
    </w:p>
    <w:p>
      <w:pPr>
        <w:pStyle w:val="Heading1"/>
        <w:tabs>
          <w:tab w:pos="9349" w:val="left" w:leader="none"/>
        </w:tabs>
      </w:pPr>
      <w:bookmarkStart w:name="_TOC_250001" w:id="5"/>
      <w:r>
        <w:rPr>
          <w:shd w:fill="8DB3E1" w:color="auto" w:val="clear"/>
        </w:rPr>
        <w:t>Section 5: Sectoral</w:t>
      </w:r>
      <w:r>
        <w:rPr>
          <w:spacing w:val="-6"/>
          <w:shd w:fill="8DB3E1" w:color="auto" w:val="clear"/>
        </w:rPr>
        <w:t> </w:t>
      </w:r>
      <w:bookmarkEnd w:id="5"/>
      <w:r>
        <w:rPr>
          <w:shd w:fill="8DB3E1" w:color="auto" w:val="clear"/>
        </w:rPr>
        <w:t>Analysis</w:t>
        <w:tab/>
      </w:r>
    </w:p>
    <w:p>
      <w:pPr>
        <w:pStyle w:val="BodyText"/>
        <w:spacing w:before="1"/>
        <w:rPr>
          <w:rFonts w:ascii="Arial Black"/>
          <w:b/>
          <w:sz w:val="47"/>
        </w:rPr>
      </w:pPr>
    </w:p>
    <w:p>
      <w:pPr>
        <w:pStyle w:val="BodyText"/>
        <w:spacing w:line="360" w:lineRule="auto"/>
        <w:ind w:left="110" w:right="615"/>
      </w:pPr>
      <w:r>
        <w:rPr/>
        <w:t>The aim of this section of the report is to outline the physical community resources available across the county for activities, sports and recreational events, social interaction and meeting spaces.</w:t>
      </w:r>
    </w:p>
    <w:p>
      <w:pPr>
        <w:pStyle w:val="BodyText"/>
        <w:spacing w:before="3"/>
        <w:rPr>
          <w:sz w:val="36"/>
        </w:rPr>
      </w:pPr>
    </w:p>
    <w:p>
      <w:pPr>
        <w:pStyle w:val="BodyText"/>
        <w:spacing w:line="360" w:lineRule="auto"/>
        <w:ind w:left="110" w:right="748"/>
      </w:pPr>
      <w:r>
        <w:rPr/>
        <w:t>It will examine in detail the findings from the survey questionnaire used under the headings:</w:t>
      </w:r>
    </w:p>
    <w:p>
      <w:pPr>
        <w:pStyle w:val="ListParagraph"/>
        <w:numPr>
          <w:ilvl w:val="0"/>
          <w:numId w:val="6"/>
        </w:numPr>
        <w:tabs>
          <w:tab w:pos="829" w:val="left" w:leader="none"/>
          <w:tab w:pos="830" w:val="left" w:leader="none"/>
        </w:tabs>
        <w:spacing w:line="240" w:lineRule="auto" w:before="19" w:after="0"/>
        <w:ind w:left="110" w:right="0" w:firstLine="360"/>
        <w:jc w:val="left"/>
        <w:rPr>
          <w:sz w:val="24"/>
        </w:rPr>
      </w:pPr>
      <w:r>
        <w:rPr>
          <w:sz w:val="24"/>
        </w:rPr>
        <w:t>Facilities</w:t>
      </w:r>
      <w:r>
        <w:rPr>
          <w:spacing w:val="-3"/>
          <w:sz w:val="24"/>
        </w:rPr>
        <w:t> </w:t>
      </w:r>
      <w:r>
        <w:rPr>
          <w:sz w:val="24"/>
        </w:rPr>
        <w:t>provided</w:t>
      </w:r>
    </w:p>
    <w:p>
      <w:pPr>
        <w:pStyle w:val="ListParagraph"/>
        <w:numPr>
          <w:ilvl w:val="0"/>
          <w:numId w:val="6"/>
        </w:numPr>
        <w:tabs>
          <w:tab w:pos="829" w:val="left" w:leader="none"/>
          <w:tab w:pos="830" w:val="left" w:leader="none"/>
        </w:tabs>
        <w:spacing w:line="240" w:lineRule="auto" w:before="134" w:after="0"/>
        <w:ind w:left="110" w:right="0" w:firstLine="360"/>
        <w:jc w:val="left"/>
        <w:rPr>
          <w:sz w:val="24"/>
        </w:rPr>
      </w:pPr>
      <w:r>
        <w:rPr>
          <w:sz w:val="24"/>
        </w:rPr>
        <w:t>Ownership /</w:t>
      </w:r>
      <w:r>
        <w:rPr>
          <w:spacing w:val="-8"/>
          <w:sz w:val="24"/>
        </w:rPr>
        <w:t> </w:t>
      </w:r>
      <w:r>
        <w:rPr>
          <w:sz w:val="24"/>
        </w:rPr>
        <w:t>Management</w:t>
      </w:r>
    </w:p>
    <w:p>
      <w:pPr>
        <w:pStyle w:val="ListParagraph"/>
        <w:numPr>
          <w:ilvl w:val="0"/>
          <w:numId w:val="6"/>
        </w:numPr>
        <w:tabs>
          <w:tab w:pos="829" w:val="left" w:leader="none"/>
          <w:tab w:pos="830" w:val="left" w:leader="none"/>
        </w:tabs>
        <w:spacing w:line="240" w:lineRule="auto" w:before="132" w:after="0"/>
        <w:ind w:left="110" w:right="0" w:firstLine="360"/>
        <w:jc w:val="left"/>
        <w:rPr>
          <w:sz w:val="24"/>
        </w:rPr>
      </w:pPr>
      <w:r>
        <w:rPr>
          <w:sz w:val="24"/>
        </w:rPr>
        <w:t>Size and Condition of the</w:t>
      </w:r>
      <w:r>
        <w:rPr>
          <w:spacing w:val="-10"/>
          <w:sz w:val="24"/>
        </w:rPr>
        <w:t> </w:t>
      </w:r>
      <w:r>
        <w:rPr>
          <w:sz w:val="24"/>
        </w:rPr>
        <w:t>Facility</w:t>
      </w:r>
    </w:p>
    <w:p>
      <w:pPr>
        <w:pStyle w:val="ListParagraph"/>
        <w:numPr>
          <w:ilvl w:val="0"/>
          <w:numId w:val="6"/>
        </w:numPr>
        <w:tabs>
          <w:tab w:pos="829" w:val="left" w:leader="none"/>
          <w:tab w:pos="830" w:val="left" w:leader="none"/>
        </w:tabs>
        <w:spacing w:line="240" w:lineRule="auto" w:before="132" w:after="0"/>
        <w:ind w:left="110" w:right="0" w:firstLine="360"/>
        <w:jc w:val="left"/>
        <w:rPr>
          <w:sz w:val="24"/>
        </w:rPr>
      </w:pPr>
      <w:r>
        <w:rPr>
          <w:sz w:val="24"/>
        </w:rPr>
        <w:t>Facility</w:t>
      </w:r>
      <w:r>
        <w:rPr>
          <w:spacing w:val="-4"/>
          <w:sz w:val="24"/>
        </w:rPr>
        <w:t> </w:t>
      </w:r>
      <w:r>
        <w:rPr>
          <w:sz w:val="24"/>
        </w:rPr>
        <w:t>Users</w:t>
      </w:r>
    </w:p>
    <w:p>
      <w:pPr>
        <w:pStyle w:val="BodyText"/>
        <w:rPr>
          <w:sz w:val="20"/>
        </w:rPr>
      </w:pPr>
    </w:p>
    <w:p>
      <w:pPr>
        <w:pStyle w:val="BodyText"/>
        <w:spacing w:before="1"/>
        <w:rPr>
          <w:sz w:val="18"/>
        </w:rPr>
      </w:pPr>
    </w:p>
    <w:p>
      <w:pPr>
        <w:pStyle w:val="Heading3"/>
        <w:numPr>
          <w:ilvl w:val="1"/>
          <w:numId w:val="7"/>
        </w:numPr>
        <w:tabs>
          <w:tab w:pos="829" w:val="left" w:leader="none"/>
          <w:tab w:pos="830" w:val="left" w:leader="none"/>
          <w:tab w:pos="9349" w:val="left" w:leader="none"/>
        </w:tabs>
        <w:spacing w:line="240" w:lineRule="auto" w:before="92" w:after="0"/>
        <w:ind w:left="830" w:right="0" w:hanging="720"/>
        <w:jc w:val="left"/>
        <w:rPr>
          <w:u w:val="none"/>
        </w:rPr>
      </w:pPr>
      <w:r>
        <w:rPr>
          <w:shd w:fill="C5D9F0" w:color="auto" w:val="clear"/>
          <w:u w:val="none"/>
        </w:rPr>
        <w:t>Facilities</w:t>
      </w:r>
      <w:r>
        <w:rPr>
          <w:spacing w:val="-9"/>
          <w:shd w:fill="FFFFFF" w:color="auto" w:val="clear"/>
          <w:u w:val="none"/>
        </w:rPr>
        <w:t> </w:t>
      </w:r>
      <w:r>
        <w:rPr>
          <w:shd w:fill="C5D9F0" w:color="auto" w:val="clear"/>
          <w:u w:val="none"/>
        </w:rPr>
        <w:t>Provided</w:t>
        <w:tab/>
      </w:r>
    </w:p>
    <w:p>
      <w:pPr>
        <w:pStyle w:val="BodyText"/>
        <w:rPr>
          <w:b/>
          <w:sz w:val="26"/>
        </w:rPr>
      </w:pPr>
    </w:p>
    <w:p>
      <w:pPr>
        <w:pStyle w:val="BodyText"/>
        <w:spacing w:before="11"/>
        <w:rPr>
          <w:b/>
          <w:sz w:val="21"/>
        </w:rPr>
      </w:pPr>
    </w:p>
    <w:p>
      <w:pPr>
        <w:pStyle w:val="BodyText"/>
        <w:spacing w:line="360" w:lineRule="auto"/>
        <w:ind w:left="110" w:right="441"/>
      </w:pPr>
      <w:r>
        <w:rPr/>
        <w:t>This will examine what types of facilities responded to the survey and what they had available for communities to use.</w:t>
      </w:r>
    </w:p>
    <w:p>
      <w:pPr>
        <w:pStyle w:val="BodyText"/>
        <w:rPr>
          <w:sz w:val="26"/>
        </w:rPr>
      </w:pPr>
    </w:p>
    <w:p>
      <w:pPr>
        <w:pStyle w:val="BodyText"/>
        <w:spacing w:line="360" w:lineRule="auto" w:before="188"/>
        <w:ind w:left="110" w:right="415"/>
      </w:pPr>
      <w:r>
        <w:rPr/>
        <w:t>The majority of those who responded to the survey described their facility as a ‘community facility’ 43%, 21% were ‘community and sport facilities’ and 19% were ‘sports facilities’. Thirteen percent of facilities described themselves as ‘other, and these included public libraries, heritage centres etc. A full listing of the other types of facilities can be found in Appendix 4.</w:t>
      </w:r>
    </w:p>
    <w:p>
      <w:pPr>
        <w:pStyle w:val="BodyText"/>
        <w:rPr>
          <w:sz w:val="36"/>
        </w:rPr>
      </w:pPr>
    </w:p>
    <w:p>
      <w:pPr>
        <w:spacing w:before="1"/>
        <w:ind w:left="110" w:right="0" w:firstLine="0"/>
        <w:jc w:val="left"/>
        <w:rPr>
          <w:b/>
          <w:sz w:val="20"/>
        </w:rPr>
      </w:pPr>
      <w:r>
        <w:rPr/>
        <w:pict>
          <v:group style="position:absolute;margin-left:79.574997pt;margin-top:17.055876pt;width:385.5pt;height:188.25pt;mso-position-horizontal-relative:page;mso-position-vertical-relative:paragraph;z-index:1360;mso-wrap-distance-left:0;mso-wrap-distance-right:0" coordorigin="1591,341" coordsize="7710,3765">
            <v:shape style="position:absolute;left:5613;top:2320;width:879;height:1678" coordorigin="5614,2320" coordsize="879,1678" path="m5614,2320l5614,3199,5978,3998,6045,3964,6109,3924,6168,3880,6222,3832,6272,3780,6317,3724,6358,3666,6393,3604,6423,3540,6448,3473,6468,3405,6481,3335,6490,3264,6492,3192,6489,3120,6479,3048,6463,2976,6441,2905,6413,2835,6377,2764,6336,2698,6289,2637,6237,2580,6181,2528,6121,2481,6056,2440,5989,2404,5918,2375,5845,2351,5770,2334,5692,2324,5614,2320xe" filled="true" fillcolor="#4571a7" stroked="false">
              <v:path arrowok="t"/>
              <v:fill type="solid"/>
            </v:shape>
            <v:shape style="position:absolute;left:4996;top:3198;width:982;height:879" coordorigin="4996,3199" coordsize="982,879" path="m5614,3199l4996,3824,5054,3876,5115,3922,5179,3962,5246,3997,5316,4025,5387,4047,5460,4063,5534,4073,5608,4077,5683,4074,5758,4065,5832,4049,5906,4027,5978,3998,5614,3199xe" filled="true" fillcolor="#aa4643" stroked="false">
              <v:path arrowok="t"/>
              <v:fill type="solid"/>
            </v:shape>
            <v:shape style="position:absolute;left:4735;top:2765;width:879;height:1058" coordorigin="4735,2766" coordsize="879,1058" path="m4849,2766l4813,2836,4785,2908,4762,2982,4747,3056,4738,3132,4735,3207,4739,3282,4750,3357,4766,3430,4789,3502,4818,3572,4854,3640,4895,3704,4943,3766,4996,3824,5614,3199,4849,2766xe" filled="true" fillcolor="#88a44e" stroked="false">
              <v:path arrowok="t"/>
              <v:fill type="solid"/>
            </v:shape>
            <v:shape style="position:absolute;left:4849;top:2691;width:765;height:508" coordorigin="4849,2691" coordsize="765,508" path="m4897,2691l4884,2709,4872,2728,4860,2747,4849,2766,5614,3199,4897,2691xe" filled="true" fillcolor="#70578f" stroked="false">
              <v:path arrowok="t"/>
              <v:fill type="solid"/>
            </v:shape>
            <v:shape style="position:absolute;left:4896;top:2621;width:717;height:577" coordorigin="4897,2622" coordsize="717,577" path="m4951,2622l4937,2639,4923,2656,4910,2673,4897,2691,5614,3199,4951,2622xe" filled="true" fillcolor="#4197ae" stroked="false">
              <v:path arrowok="t"/>
              <v:fill type="solid"/>
            </v:shape>
            <v:shape style="position:absolute;left:4951;top:2320;width:663;height:879" coordorigin="4951,2320" coordsize="663,879" path="m5614,2320l5538,2323,5463,2333,5390,2349,5319,2371,5250,2399,5183,2433,5120,2472,5060,2517,5003,2567,4951,2622,5614,3199,5614,2320xe" filled="true" fillcolor="#db843c" stroked="false">
              <v:path arrowok="t"/>
              <v:fill type="solid"/>
            </v:shape>
            <v:shape style="position:absolute;left:4546;top:2690;width:325;height:36" coordorigin="4546,2691" coordsize="325,36" path="m4870,2727l4636,2691,4546,2691e" filled="false" stroked="true" strokeweight=".75pt" strokecolor="#000000">
              <v:path arrowok="t"/>
              <v:stroke dashstyle="solid"/>
            </v:shape>
            <v:rect style="position:absolute;left:3120;top:1216;width:111;height:111" filled="true" fillcolor="#4571a7" stroked="false">
              <v:fill type="solid"/>
            </v:rect>
            <v:rect style="position:absolute;left:5517;top:1216;width:113;height:111" filled="true" fillcolor="#aa4643" stroked="false">
              <v:fill type="solid"/>
            </v:rect>
            <v:rect style="position:absolute;left:3120;top:1576;width:111;height:113" filled="true" fillcolor="#88a44e" stroked="false">
              <v:fill type="solid"/>
            </v:rect>
            <v:rect style="position:absolute;left:5517;top:1576;width:113;height:113" filled="true" fillcolor="#70578f" stroked="false">
              <v:fill type="solid"/>
            </v:rect>
            <v:rect style="position:absolute;left:3120;top:1938;width:111;height:113" filled="true" fillcolor="#4197ae" stroked="false">
              <v:fill type="solid"/>
            </v:rect>
            <v:rect style="position:absolute;left:5517;top:1938;width:113;height:113" filled="true" fillcolor="#db843c" stroked="false">
              <v:fill type="solid"/>
            </v:rect>
            <v:rect style="position:absolute;left:1599;top:348;width:7695;height:3750" filled="false" stroked="true" strokeweight=".75pt" strokecolor="#858585">
              <v:stroke dashstyle="solid"/>
            </v:rect>
            <v:shape style="position:absolute;left:3275;top:573;width:4188;height:1527" type="#_x0000_t202" filled="false" stroked="false">
              <v:textbox inset="0,0,0,0">
                <w:txbxContent>
                  <w:p>
                    <w:pPr>
                      <w:spacing w:line="346" w:lineRule="exact" w:before="0"/>
                      <w:ind w:left="1042" w:right="885" w:firstLine="0"/>
                      <w:jc w:val="center"/>
                      <w:rPr>
                        <w:b/>
                        <w:sz w:val="36"/>
                      </w:rPr>
                    </w:pPr>
                    <w:r>
                      <w:rPr>
                        <w:b/>
                        <w:spacing w:val="-4"/>
                        <w:w w:val="90"/>
                        <w:sz w:val="36"/>
                      </w:rPr>
                      <w:t>Type</w:t>
                    </w:r>
                    <w:r>
                      <w:rPr>
                        <w:b/>
                        <w:spacing w:val="-62"/>
                        <w:w w:val="90"/>
                        <w:sz w:val="36"/>
                      </w:rPr>
                      <w:t> </w:t>
                    </w:r>
                    <w:r>
                      <w:rPr>
                        <w:b/>
                        <w:w w:val="90"/>
                        <w:sz w:val="36"/>
                      </w:rPr>
                      <w:t>of</w:t>
                    </w:r>
                    <w:r>
                      <w:rPr>
                        <w:b/>
                        <w:spacing w:val="-61"/>
                        <w:w w:val="90"/>
                        <w:sz w:val="36"/>
                      </w:rPr>
                      <w:t> </w:t>
                    </w:r>
                    <w:r>
                      <w:rPr>
                        <w:b/>
                        <w:w w:val="90"/>
                        <w:sz w:val="36"/>
                      </w:rPr>
                      <w:t>Facility</w:t>
                    </w:r>
                  </w:p>
                  <w:p>
                    <w:pPr>
                      <w:tabs>
                        <w:tab w:pos="2399" w:val="left" w:leader="none"/>
                      </w:tabs>
                      <w:spacing w:line="376" w:lineRule="auto" w:before="220"/>
                      <w:ind w:left="0" w:right="18" w:firstLine="0"/>
                      <w:jc w:val="left"/>
                      <w:rPr>
                        <w:sz w:val="20"/>
                      </w:rPr>
                    </w:pPr>
                    <w:r>
                      <w:rPr>
                        <w:sz w:val="20"/>
                      </w:rPr>
                      <w:t>Community</w:t>
                    </w:r>
                    <w:r>
                      <w:rPr>
                        <w:spacing w:val="-39"/>
                        <w:sz w:val="20"/>
                      </w:rPr>
                      <w:t> </w:t>
                    </w:r>
                    <w:r>
                      <w:rPr>
                        <w:sz w:val="20"/>
                      </w:rPr>
                      <w:t>facility</w:t>
                      <w:tab/>
                    </w:r>
                    <w:r>
                      <w:rPr>
                        <w:w w:val="90"/>
                        <w:sz w:val="20"/>
                      </w:rPr>
                      <w:t>Sports</w:t>
                    </w:r>
                    <w:r>
                      <w:rPr>
                        <w:spacing w:val="20"/>
                        <w:w w:val="90"/>
                        <w:sz w:val="20"/>
                      </w:rPr>
                      <w:t> </w:t>
                    </w:r>
                    <w:r>
                      <w:rPr>
                        <w:w w:val="90"/>
                        <w:sz w:val="20"/>
                      </w:rPr>
                      <w:t>facility</w:t>
                    </w:r>
                    <w:r>
                      <w:rPr>
                        <w:w w:val="94"/>
                        <w:sz w:val="20"/>
                      </w:rPr>
                      <w:t> </w:t>
                    </w:r>
                    <w:r>
                      <w:rPr>
                        <w:sz w:val="20"/>
                      </w:rPr>
                      <w:t>Community</w:t>
                    </w:r>
                    <w:r>
                      <w:rPr>
                        <w:spacing w:val="-32"/>
                        <w:sz w:val="20"/>
                      </w:rPr>
                      <w:t> </w:t>
                    </w:r>
                    <w:r>
                      <w:rPr>
                        <w:sz w:val="20"/>
                      </w:rPr>
                      <w:t>&amp;</w:t>
                    </w:r>
                    <w:r>
                      <w:rPr>
                        <w:spacing w:val="-32"/>
                        <w:sz w:val="20"/>
                      </w:rPr>
                      <w:t> </w:t>
                    </w:r>
                    <w:r>
                      <w:rPr>
                        <w:sz w:val="20"/>
                      </w:rPr>
                      <w:t>sport</w:t>
                    </w:r>
                    <w:r>
                      <w:rPr>
                        <w:spacing w:val="-32"/>
                        <w:sz w:val="20"/>
                      </w:rPr>
                      <w:t> </w:t>
                    </w:r>
                    <w:r>
                      <w:rPr>
                        <w:sz w:val="20"/>
                      </w:rPr>
                      <w:t>facility</w:t>
                      <w:tab/>
                    </w:r>
                    <w:r>
                      <w:rPr>
                        <w:w w:val="90"/>
                        <w:sz w:val="20"/>
                      </w:rPr>
                      <w:t>Childcare</w:t>
                    </w:r>
                    <w:r>
                      <w:rPr>
                        <w:spacing w:val="13"/>
                        <w:w w:val="90"/>
                        <w:sz w:val="20"/>
                      </w:rPr>
                      <w:t> </w:t>
                    </w:r>
                    <w:r>
                      <w:rPr>
                        <w:w w:val="90"/>
                        <w:sz w:val="20"/>
                      </w:rPr>
                      <w:t>facility</w:t>
                    </w:r>
                  </w:p>
                  <w:p>
                    <w:pPr>
                      <w:tabs>
                        <w:tab w:pos="2399" w:val="left" w:leader="none"/>
                      </w:tabs>
                      <w:spacing w:before="4"/>
                      <w:ind w:left="0" w:right="0" w:firstLine="0"/>
                      <w:jc w:val="left"/>
                      <w:rPr>
                        <w:sz w:val="20"/>
                      </w:rPr>
                    </w:pPr>
                    <w:r>
                      <w:rPr>
                        <w:w w:val="95"/>
                        <w:sz w:val="20"/>
                      </w:rPr>
                      <w:t>Social</w:t>
                    </w:r>
                    <w:r>
                      <w:rPr>
                        <w:spacing w:val="-28"/>
                        <w:w w:val="95"/>
                        <w:sz w:val="20"/>
                      </w:rPr>
                      <w:t> </w:t>
                    </w:r>
                    <w:r>
                      <w:rPr>
                        <w:w w:val="95"/>
                        <w:sz w:val="20"/>
                      </w:rPr>
                      <w:t>Enterprise</w:t>
                    </w:r>
                    <w:r>
                      <w:rPr>
                        <w:spacing w:val="-26"/>
                        <w:w w:val="95"/>
                        <w:sz w:val="20"/>
                      </w:rPr>
                      <w:t> </w:t>
                    </w:r>
                    <w:r>
                      <w:rPr>
                        <w:w w:val="95"/>
                        <w:sz w:val="20"/>
                      </w:rPr>
                      <w:t>facility</w:t>
                      <w:tab/>
                    </w:r>
                    <w:r>
                      <w:rPr>
                        <w:w w:val="90"/>
                        <w:sz w:val="20"/>
                      </w:rPr>
                      <w:t>Other (please</w:t>
                    </w:r>
                    <w:r>
                      <w:rPr>
                        <w:spacing w:val="-2"/>
                        <w:w w:val="90"/>
                        <w:sz w:val="20"/>
                      </w:rPr>
                      <w:t> </w:t>
                    </w:r>
                    <w:r>
                      <w:rPr>
                        <w:w w:val="90"/>
                        <w:sz w:val="20"/>
                      </w:rPr>
                      <w:t>specify)</w:t>
                    </w:r>
                  </w:p>
                </w:txbxContent>
              </v:textbox>
              <w10:wrap type="none"/>
            </v:shape>
            <v:shape style="position:absolute;left:4270;top:2430;width:624;height:320" type="#_x0000_t202" filled="false" stroked="false">
              <v:textbox inset="0,0,0,0">
                <w:txbxContent>
                  <w:p>
                    <w:pPr>
                      <w:spacing w:line="312" w:lineRule="exact" w:before="0"/>
                      <w:ind w:left="0" w:right="0" w:firstLine="0"/>
                      <w:jc w:val="left"/>
                      <w:rPr>
                        <w:sz w:val="20"/>
                      </w:rPr>
                    </w:pPr>
                    <w:r>
                      <w:rPr>
                        <w:w w:val="95"/>
                        <w:position w:val="-11"/>
                        <w:sz w:val="20"/>
                      </w:rPr>
                      <w:t>2% </w:t>
                    </w:r>
                    <w:r>
                      <w:rPr>
                        <w:w w:val="95"/>
                        <w:sz w:val="20"/>
                      </w:rPr>
                      <w:t>2%</w:t>
                    </w:r>
                  </w:p>
                </w:txbxContent>
              </v:textbox>
              <w10:wrap type="none"/>
            </v:shape>
            <v:shape style="position:absolute;left:5200;top:2550;width:364;height:200" type="#_x0000_t202" filled="false" stroked="false">
              <v:textbox inset="0,0,0,0">
                <w:txbxContent>
                  <w:p>
                    <w:pPr>
                      <w:spacing w:line="192" w:lineRule="exact" w:before="0"/>
                      <w:ind w:left="0" w:right="0" w:firstLine="0"/>
                      <w:jc w:val="left"/>
                      <w:rPr>
                        <w:sz w:val="20"/>
                      </w:rPr>
                    </w:pPr>
                    <w:r>
                      <w:rPr>
                        <w:w w:val="85"/>
                        <w:sz w:val="20"/>
                      </w:rPr>
                      <w:t>13%</w:t>
                    </w:r>
                  </w:p>
                </w:txbxContent>
              </v:textbox>
              <w10:wrap type="none"/>
            </v:shape>
            <v:shape style="position:absolute;left:5980;top:2925;width:364;height:200" type="#_x0000_t202" filled="false" stroked="false">
              <v:textbox inset="0,0,0,0">
                <w:txbxContent>
                  <w:p>
                    <w:pPr>
                      <w:spacing w:line="192" w:lineRule="exact" w:before="0"/>
                      <w:ind w:left="0" w:right="0" w:firstLine="0"/>
                      <w:jc w:val="left"/>
                      <w:rPr>
                        <w:sz w:val="20"/>
                      </w:rPr>
                    </w:pPr>
                    <w:r>
                      <w:rPr>
                        <w:w w:val="85"/>
                        <w:sz w:val="20"/>
                      </w:rPr>
                      <w:t>43%</w:t>
                    </w:r>
                  </w:p>
                </w:txbxContent>
              </v:textbox>
              <w10:wrap type="none"/>
            </v:shape>
            <v:shape style="position:absolute;left:4826;top:3195;width:364;height:200" type="#_x0000_t202" filled="false" stroked="false">
              <v:textbox inset="0,0,0,0">
                <w:txbxContent>
                  <w:p>
                    <w:pPr>
                      <w:spacing w:line="192" w:lineRule="exact" w:before="0"/>
                      <w:ind w:left="0" w:right="0" w:firstLine="0"/>
                      <w:jc w:val="left"/>
                      <w:rPr>
                        <w:sz w:val="20"/>
                      </w:rPr>
                    </w:pPr>
                    <w:r>
                      <w:rPr>
                        <w:w w:val="85"/>
                        <w:sz w:val="20"/>
                      </w:rPr>
                      <w:t>21%</w:t>
                    </w:r>
                  </w:p>
                </w:txbxContent>
              </v:textbox>
              <w10:wrap type="none"/>
            </v:shape>
            <v:shape style="position:absolute;left:5320;top:3750;width:364;height:200" type="#_x0000_t202" filled="false" stroked="false">
              <v:textbox inset="0,0,0,0">
                <w:txbxContent>
                  <w:p>
                    <w:pPr>
                      <w:spacing w:line="192" w:lineRule="exact" w:before="0"/>
                      <w:ind w:left="0" w:right="0" w:firstLine="0"/>
                      <w:jc w:val="left"/>
                      <w:rPr>
                        <w:sz w:val="20"/>
                      </w:rPr>
                    </w:pPr>
                    <w:r>
                      <w:rPr>
                        <w:w w:val="85"/>
                        <w:sz w:val="20"/>
                      </w:rPr>
                      <w:t>19%</w:t>
                    </w:r>
                  </w:p>
                </w:txbxContent>
              </v:textbox>
              <w10:wrap type="none"/>
            </v:shape>
            <w10:wrap type="topAndBottom"/>
          </v:group>
        </w:pict>
      </w:r>
      <w:r>
        <w:rPr>
          <w:b/>
          <w:sz w:val="20"/>
        </w:rPr>
        <w:t>Figure 7: Type of Facility</w:t>
      </w:r>
    </w:p>
    <w:p>
      <w:pPr>
        <w:spacing w:after="0"/>
        <w:jc w:val="left"/>
        <w:rPr>
          <w:sz w:val="20"/>
        </w:rPr>
        <w:sectPr>
          <w:pgSz w:w="11910" w:h="17340"/>
          <w:pgMar w:header="759" w:footer="1014" w:top="940" w:bottom="1200" w:left="1460" w:right="980"/>
        </w:sectPr>
      </w:pPr>
    </w:p>
    <w:p>
      <w:pPr>
        <w:pStyle w:val="BodyText"/>
        <w:spacing w:before="7"/>
        <w:rPr>
          <w:b/>
          <w:sz w:val="15"/>
        </w:rPr>
      </w:pPr>
    </w:p>
    <w:p>
      <w:pPr>
        <w:pStyle w:val="BodyText"/>
        <w:spacing w:line="360" w:lineRule="auto" w:before="92"/>
        <w:ind w:left="110" w:right="275"/>
      </w:pPr>
      <w:r>
        <w:rPr/>
        <w:t>Of those facilities which indicated they were line marked for sporting activities the majority were line marked for badminton, followed by indoor soccer, basketball or handball, as displayed in Figure 8. A list of ‘Other’ responses can be found in Appendix 5.</w:t>
      </w:r>
    </w:p>
    <w:p>
      <w:pPr>
        <w:pStyle w:val="BodyText"/>
        <w:spacing w:before="10"/>
        <w:rPr>
          <w:sz w:val="29"/>
        </w:rPr>
      </w:pPr>
    </w:p>
    <w:p>
      <w:pPr>
        <w:spacing w:before="1"/>
        <w:ind w:left="110" w:right="0" w:firstLine="0"/>
        <w:jc w:val="left"/>
        <w:rPr>
          <w:b/>
          <w:sz w:val="20"/>
        </w:rPr>
      </w:pPr>
      <w:r>
        <w:rPr/>
        <w:pict>
          <v:group style="position:absolute;margin-left:79.574997pt;margin-top:17.194859pt;width:415.5pt;height:192pt;mso-position-horizontal-relative:page;mso-position-vertical-relative:paragraph;z-index:-94048" coordorigin="1591,344" coordsize="8310,3840">
            <v:shape style="position:absolute;left:7358;top:1376;width:2336;height:1966" coordorigin="7358,1376" coordsize="2336,1966" path="m9156,3342l9694,3342m7358,3342l8436,3342m7358,3015l9694,3015m7358,2687l9694,2687m7358,2360l9694,2360m7358,2031l9694,2031m7358,1705l9694,1705m7358,1376l9694,1376e" filled="false" stroked="true" strokeweight=".72pt" strokecolor="#858585">
              <v:path arrowok="t"/>
              <v:stroke dashstyle="solid"/>
            </v:shape>
            <v:shape style="position:absolute;left:6640;top:1212;width:2516;height:2458" coordorigin="6641,1213" coordsize="2516,2458" path="m7358,1213l6641,1213,6641,3671,7358,3671,7358,1213m9156,3179l8436,3179,8436,3671,9156,3671,9156,3179e" filled="true" fillcolor="#9bba58" stroked="false">
              <v:path arrowok="t"/>
              <v:fill type="solid"/>
            </v:shape>
            <v:rect style="position:absolute;left:1599;top:351;width:8295;height:3825" filled="false" stroked="true" strokeweight=".75pt" strokecolor="#858585">
              <v:stroke dashstyle="solid"/>
            </v:rect>
            <v:shape style="position:absolute;left:3582;top:623;width:4198;height:281" type="#_x0000_t202" filled="false" stroked="false">
              <v:textbox inset="0,0,0,0">
                <w:txbxContent>
                  <w:p>
                    <w:pPr>
                      <w:spacing w:line="270" w:lineRule="exact" w:before="0"/>
                      <w:ind w:left="0" w:right="0" w:firstLine="0"/>
                      <w:jc w:val="left"/>
                      <w:rPr>
                        <w:b/>
                        <w:sz w:val="28"/>
                      </w:rPr>
                    </w:pPr>
                    <w:r>
                      <w:rPr>
                        <w:b/>
                        <w:w w:val="90"/>
                        <w:sz w:val="28"/>
                      </w:rPr>
                      <w:t>Hall</w:t>
                    </w:r>
                    <w:r>
                      <w:rPr>
                        <w:b/>
                        <w:spacing w:val="-44"/>
                        <w:w w:val="90"/>
                        <w:sz w:val="28"/>
                      </w:rPr>
                      <w:t> </w:t>
                    </w:r>
                    <w:r>
                      <w:rPr>
                        <w:b/>
                        <w:w w:val="90"/>
                        <w:sz w:val="28"/>
                      </w:rPr>
                      <w:t>Markings</w:t>
                    </w:r>
                    <w:r>
                      <w:rPr>
                        <w:b/>
                        <w:spacing w:val="-44"/>
                        <w:w w:val="90"/>
                        <w:sz w:val="28"/>
                      </w:rPr>
                      <w:t> </w:t>
                    </w:r>
                    <w:r>
                      <w:rPr>
                        <w:b/>
                        <w:w w:val="90"/>
                        <w:sz w:val="28"/>
                      </w:rPr>
                      <w:t>for</w:t>
                    </w:r>
                    <w:r>
                      <w:rPr>
                        <w:b/>
                        <w:spacing w:val="-42"/>
                        <w:w w:val="90"/>
                        <w:sz w:val="28"/>
                      </w:rPr>
                      <w:t> </w:t>
                    </w:r>
                    <w:r>
                      <w:rPr>
                        <w:b/>
                        <w:w w:val="90"/>
                        <w:sz w:val="28"/>
                      </w:rPr>
                      <w:t>Sporting</w:t>
                    </w:r>
                    <w:r>
                      <w:rPr>
                        <w:b/>
                        <w:spacing w:val="-44"/>
                        <w:w w:val="90"/>
                        <w:sz w:val="28"/>
                      </w:rPr>
                      <w:t> </w:t>
                    </w:r>
                    <w:r>
                      <w:rPr>
                        <w:b/>
                        <w:w w:val="90"/>
                        <w:sz w:val="28"/>
                      </w:rPr>
                      <w:t>Activities</w:t>
                    </w:r>
                  </w:p>
                </w:txbxContent>
              </v:textbox>
              <w10:wrap type="none"/>
            </v:shape>
            <v:shape style="position:absolute;left:1824;top:956;width:516;height:2821" type="#_x0000_t202" filled="false" stroked="false">
              <v:textbox inset="0,0,0,0">
                <w:txbxContent>
                  <w:p>
                    <w:pPr>
                      <w:spacing w:line="192" w:lineRule="exact" w:before="0"/>
                      <w:ind w:left="0" w:right="18" w:firstLine="0"/>
                      <w:jc w:val="center"/>
                      <w:rPr>
                        <w:sz w:val="20"/>
                      </w:rPr>
                    </w:pPr>
                    <w:r>
                      <w:rPr>
                        <w:w w:val="85"/>
                        <w:sz w:val="20"/>
                      </w:rPr>
                      <w:t>80.0%</w:t>
                    </w:r>
                  </w:p>
                  <w:p>
                    <w:pPr>
                      <w:spacing w:before="98"/>
                      <w:ind w:left="0" w:right="18" w:firstLine="0"/>
                      <w:jc w:val="center"/>
                      <w:rPr>
                        <w:sz w:val="20"/>
                      </w:rPr>
                    </w:pPr>
                    <w:r>
                      <w:rPr>
                        <w:w w:val="85"/>
                        <w:sz w:val="20"/>
                      </w:rPr>
                      <w:t>70.0%</w:t>
                    </w:r>
                  </w:p>
                  <w:p>
                    <w:pPr>
                      <w:spacing w:before="98"/>
                      <w:ind w:left="0" w:right="18" w:firstLine="0"/>
                      <w:jc w:val="center"/>
                      <w:rPr>
                        <w:sz w:val="20"/>
                      </w:rPr>
                    </w:pPr>
                    <w:r>
                      <w:rPr>
                        <w:w w:val="85"/>
                        <w:sz w:val="20"/>
                      </w:rPr>
                      <w:t>60.0%</w:t>
                    </w:r>
                  </w:p>
                  <w:p>
                    <w:pPr>
                      <w:spacing w:before="98"/>
                      <w:ind w:left="0" w:right="18" w:firstLine="0"/>
                      <w:jc w:val="center"/>
                      <w:rPr>
                        <w:sz w:val="20"/>
                      </w:rPr>
                    </w:pPr>
                    <w:r>
                      <w:rPr>
                        <w:w w:val="85"/>
                        <w:sz w:val="20"/>
                      </w:rPr>
                      <w:t>50.0%</w:t>
                    </w:r>
                  </w:p>
                  <w:p>
                    <w:pPr>
                      <w:spacing w:before="97"/>
                      <w:ind w:left="0" w:right="18" w:firstLine="0"/>
                      <w:jc w:val="center"/>
                      <w:rPr>
                        <w:sz w:val="20"/>
                      </w:rPr>
                    </w:pPr>
                    <w:r>
                      <w:rPr>
                        <w:w w:val="85"/>
                        <w:sz w:val="20"/>
                      </w:rPr>
                      <w:t>40.0%</w:t>
                    </w:r>
                  </w:p>
                  <w:p>
                    <w:pPr>
                      <w:spacing w:before="97"/>
                      <w:ind w:left="0" w:right="18" w:firstLine="0"/>
                      <w:jc w:val="center"/>
                      <w:rPr>
                        <w:sz w:val="20"/>
                      </w:rPr>
                    </w:pPr>
                    <w:r>
                      <w:rPr>
                        <w:w w:val="85"/>
                        <w:sz w:val="20"/>
                      </w:rPr>
                      <w:t>30.0%</w:t>
                    </w:r>
                  </w:p>
                  <w:p>
                    <w:pPr>
                      <w:spacing w:before="97"/>
                      <w:ind w:left="0" w:right="18" w:firstLine="0"/>
                      <w:jc w:val="center"/>
                      <w:rPr>
                        <w:sz w:val="20"/>
                      </w:rPr>
                    </w:pPr>
                    <w:r>
                      <w:rPr>
                        <w:w w:val="85"/>
                        <w:sz w:val="20"/>
                      </w:rPr>
                      <w:t>20.0%</w:t>
                    </w:r>
                  </w:p>
                  <w:p>
                    <w:pPr>
                      <w:spacing w:before="96"/>
                      <w:ind w:left="0" w:right="18" w:firstLine="0"/>
                      <w:jc w:val="center"/>
                      <w:rPr>
                        <w:sz w:val="20"/>
                      </w:rPr>
                    </w:pPr>
                    <w:r>
                      <w:rPr>
                        <w:w w:val="85"/>
                        <w:sz w:val="20"/>
                      </w:rPr>
                      <w:t>10.0%</w:t>
                    </w:r>
                  </w:p>
                  <w:p>
                    <w:pPr>
                      <w:spacing w:before="97"/>
                      <w:ind w:left="84" w:right="4" w:firstLine="0"/>
                      <w:jc w:val="center"/>
                      <w:rPr>
                        <w:sz w:val="20"/>
                      </w:rPr>
                    </w:pPr>
                    <w:r>
                      <w:rPr>
                        <w:w w:val="85"/>
                        <w:sz w:val="20"/>
                      </w:rPr>
                      <w:t>0.0%</w:t>
                    </w:r>
                  </w:p>
                </w:txbxContent>
              </v:textbox>
              <w10:wrap type="none"/>
            </v:shape>
            <v:shape style="position:absolute;left:2989;top:3838;width:851;height:200" type="#_x0000_t202" filled="false" stroked="false">
              <v:textbox inset="0,0,0,0">
                <w:txbxContent>
                  <w:p>
                    <w:pPr>
                      <w:spacing w:line="192" w:lineRule="exact" w:before="0"/>
                      <w:ind w:left="0" w:right="0" w:firstLine="0"/>
                      <w:jc w:val="left"/>
                      <w:rPr>
                        <w:sz w:val="20"/>
                      </w:rPr>
                    </w:pPr>
                    <w:r>
                      <w:rPr>
                        <w:w w:val="90"/>
                        <w:sz w:val="20"/>
                      </w:rPr>
                      <w:t>Basketball</w:t>
                    </w:r>
                  </w:p>
                </w:txbxContent>
              </v:textbox>
              <w10:wrap type="none"/>
            </v:shape>
            <v:shape style="position:absolute;left:4642;top:3838;width:1135;height:200" type="#_x0000_t202" filled="false" stroked="false">
              <v:textbox inset="0,0,0,0">
                <w:txbxContent>
                  <w:p>
                    <w:pPr>
                      <w:spacing w:line="192" w:lineRule="exact" w:before="0"/>
                      <w:ind w:left="0" w:right="0" w:firstLine="0"/>
                      <w:jc w:val="left"/>
                      <w:rPr>
                        <w:sz w:val="20"/>
                      </w:rPr>
                    </w:pPr>
                    <w:r>
                      <w:rPr>
                        <w:w w:val="90"/>
                        <w:sz w:val="20"/>
                      </w:rPr>
                      <w:t>Indoor Soccer</w:t>
                    </w:r>
                  </w:p>
                </w:txbxContent>
              </v:textbox>
              <w10:wrap type="none"/>
            </v:shape>
            <v:shape style="position:absolute;left:6550;top:3838;width:917;height:200" type="#_x0000_t202" filled="false" stroked="false">
              <v:textbox inset="0,0,0,0">
                <w:txbxContent>
                  <w:p>
                    <w:pPr>
                      <w:spacing w:line="192" w:lineRule="exact" w:before="0"/>
                      <w:ind w:left="0" w:right="0" w:firstLine="0"/>
                      <w:jc w:val="left"/>
                      <w:rPr>
                        <w:sz w:val="20"/>
                      </w:rPr>
                    </w:pPr>
                    <w:r>
                      <w:rPr>
                        <w:w w:val="95"/>
                        <w:sz w:val="20"/>
                      </w:rPr>
                      <w:t>Badminton</w:t>
                    </w:r>
                  </w:p>
                </w:txbxContent>
              </v:textbox>
              <w10:wrap type="none"/>
            </v:shape>
            <v:shape style="position:absolute;left:8433;top:3838;width:744;height:200" type="#_x0000_t202" filled="false" stroked="false">
              <v:textbox inset="0,0,0,0">
                <w:txbxContent>
                  <w:p>
                    <w:pPr>
                      <w:spacing w:line="192" w:lineRule="exact" w:before="0"/>
                      <w:ind w:left="0" w:right="0" w:firstLine="0"/>
                      <w:jc w:val="left"/>
                      <w:rPr>
                        <w:sz w:val="20"/>
                      </w:rPr>
                    </w:pPr>
                    <w:r>
                      <w:rPr>
                        <w:w w:val="90"/>
                        <w:sz w:val="20"/>
                      </w:rPr>
                      <w:t>Handball</w:t>
                    </w:r>
                  </w:p>
                </w:txbxContent>
              </v:textbox>
              <w10:wrap type="none"/>
            </v:shape>
            <w10:wrap type="none"/>
          </v:group>
        </w:pict>
      </w:r>
      <w:r>
        <w:rPr>
          <w:b/>
          <w:sz w:val="20"/>
        </w:rPr>
        <w:t>Figure 8: Facilities lined marked for activities</w:t>
      </w:r>
    </w:p>
    <w:p>
      <w:pPr>
        <w:pStyle w:val="BodyText"/>
        <w:rPr>
          <w:b/>
          <w:sz w:val="20"/>
        </w:rPr>
      </w:pPr>
    </w:p>
    <w:p>
      <w:pPr>
        <w:pStyle w:val="BodyText"/>
        <w:rPr>
          <w:b/>
          <w:sz w:val="20"/>
        </w:rPr>
      </w:pPr>
    </w:p>
    <w:p>
      <w:pPr>
        <w:pStyle w:val="BodyText"/>
        <w:rPr>
          <w:b/>
          <w:sz w:val="20"/>
        </w:rPr>
      </w:pPr>
    </w:p>
    <w:p>
      <w:pPr>
        <w:pStyle w:val="BodyText"/>
        <w:spacing w:before="6" w:after="1"/>
        <w:rPr>
          <w:b/>
          <w:sz w:val="10"/>
        </w:rPr>
      </w:pPr>
    </w:p>
    <w:tbl>
      <w:tblPr>
        <w:tblW w:w="0" w:type="auto"/>
        <w:jc w:val="left"/>
        <w:tblInd w:w="104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540"/>
        <w:gridCol w:w="718"/>
        <w:gridCol w:w="1078"/>
        <w:gridCol w:w="720"/>
        <w:gridCol w:w="1078"/>
        <w:gridCol w:w="3053"/>
      </w:tblGrid>
      <w:tr>
        <w:trPr>
          <w:trHeight w:val="260" w:hRule="atLeast"/>
        </w:trPr>
        <w:tc>
          <w:tcPr>
            <w:tcW w:w="4133" w:type="dxa"/>
            <w:gridSpan w:val="5"/>
            <w:tcBorders>
              <w:right w:val="nil"/>
            </w:tcBorders>
          </w:tcPr>
          <w:p>
            <w:pPr>
              <w:pStyle w:val="TableParagraph"/>
              <w:spacing w:line="240" w:lineRule="auto"/>
              <w:rPr>
                <w:rFonts w:ascii="Times New Roman"/>
                <w:sz w:val="20"/>
              </w:rPr>
            </w:pPr>
          </w:p>
        </w:tc>
        <w:tc>
          <w:tcPr>
            <w:tcW w:w="3053" w:type="dxa"/>
            <w:vMerge w:val="restart"/>
            <w:tcBorders>
              <w:left w:val="nil"/>
              <w:bottom w:val="single" w:sz="34" w:space="0" w:color="858585"/>
              <w:right w:val="nil"/>
            </w:tcBorders>
          </w:tcPr>
          <w:p>
            <w:pPr>
              <w:pStyle w:val="TableParagraph"/>
              <w:spacing w:line="240" w:lineRule="auto"/>
              <w:rPr>
                <w:rFonts w:ascii="Times New Roman"/>
                <w:sz w:val="22"/>
              </w:rPr>
            </w:pPr>
          </w:p>
        </w:tc>
      </w:tr>
      <w:tr>
        <w:trPr>
          <w:trHeight w:val="240" w:hRule="atLeast"/>
        </w:trPr>
        <w:tc>
          <w:tcPr>
            <w:tcW w:w="4133" w:type="dxa"/>
            <w:gridSpan w:val="5"/>
            <w:tcBorders>
              <w:right w:val="nil"/>
            </w:tcBorders>
          </w:tcPr>
          <w:p>
            <w:pPr>
              <w:pStyle w:val="TableParagraph"/>
              <w:spacing w:line="240" w:lineRule="auto"/>
              <w:rPr>
                <w:rFonts w:ascii="Times New Roman"/>
                <w:sz w:val="16"/>
              </w:rPr>
            </w:pPr>
          </w:p>
        </w:tc>
        <w:tc>
          <w:tcPr>
            <w:tcW w:w="3053" w:type="dxa"/>
            <w:vMerge/>
            <w:tcBorders>
              <w:top w:val="nil"/>
              <w:left w:val="nil"/>
              <w:bottom w:val="single" w:sz="34" w:space="0" w:color="858585"/>
              <w:right w:val="nil"/>
            </w:tcBorders>
          </w:tcPr>
          <w:p>
            <w:pPr>
              <w:rPr>
                <w:sz w:val="2"/>
                <w:szCs w:val="2"/>
              </w:rPr>
            </w:pPr>
          </w:p>
        </w:tc>
      </w:tr>
      <w:tr>
        <w:trPr>
          <w:trHeight w:val="240" w:hRule="atLeast"/>
        </w:trPr>
        <w:tc>
          <w:tcPr>
            <w:tcW w:w="4133" w:type="dxa"/>
            <w:gridSpan w:val="5"/>
            <w:tcBorders>
              <w:right w:val="nil"/>
            </w:tcBorders>
          </w:tcPr>
          <w:p>
            <w:pPr>
              <w:pStyle w:val="TableParagraph"/>
              <w:spacing w:line="240" w:lineRule="auto"/>
              <w:rPr>
                <w:rFonts w:ascii="Times New Roman"/>
                <w:sz w:val="16"/>
              </w:rPr>
            </w:pPr>
          </w:p>
        </w:tc>
        <w:tc>
          <w:tcPr>
            <w:tcW w:w="3053" w:type="dxa"/>
            <w:vMerge/>
            <w:tcBorders>
              <w:top w:val="nil"/>
              <w:left w:val="nil"/>
              <w:bottom w:val="single" w:sz="34" w:space="0" w:color="858585"/>
              <w:right w:val="nil"/>
            </w:tcBorders>
          </w:tcPr>
          <w:p>
            <w:pPr>
              <w:rPr>
                <w:sz w:val="2"/>
                <w:szCs w:val="2"/>
              </w:rPr>
            </w:pPr>
          </w:p>
        </w:tc>
      </w:tr>
      <w:tr>
        <w:trPr>
          <w:trHeight w:val="240" w:hRule="atLeast"/>
        </w:trPr>
        <w:tc>
          <w:tcPr>
            <w:tcW w:w="4133" w:type="dxa"/>
            <w:gridSpan w:val="5"/>
            <w:tcBorders>
              <w:right w:val="nil"/>
            </w:tcBorders>
          </w:tcPr>
          <w:p>
            <w:pPr>
              <w:pStyle w:val="TableParagraph"/>
              <w:spacing w:line="240" w:lineRule="auto"/>
              <w:rPr>
                <w:rFonts w:ascii="Times New Roman"/>
                <w:sz w:val="16"/>
              </w:rPr>
            </w:pPr>
          </w:p>
        </w:tc>
        <w:tc>
          <w:tcPr>
            <w:tcW w:w="3053" w:type="dxa"/>
            <w:vMerge/>
            <w:tcBorders>
              <w:top w:val="nil"/>
              <w:left w:val="nil"/>
              <w:bottom w:val="single" w:sz="34" w:space="0" w:color="858585"/>
              <w:right w:val="nil"/>
            </w:tcBorders>
          </w:tcPr>
          <w:p>
            <w:pPr>
              <w:rPr>
                <w:sz w:val="2"/>
                <w:szCs w:val="2"/>
              </w:rPr>
            </w:pPr>
          </w:p>
        </w:tc>
      </w:tr>
      <w:tr>
        <w:trPr>
          <w:trHeight w:val="240" w:hRule="atLeast"/>
        </w:trPr>
        <w:tc>
          <w:tcPr>
            <w:tcW w:w="540" w:type="dxa"/>
            <w:tcBorders>
              <w:right w:val="nil"/>
            </w:tcBorders>
          </w:tcPr>
          <w:p>
            <w:pPr>
              <w:pStyle w:val="TableParagraph"/>
              <w:spacing w:line="240" w:lineRule="auto"/>
              <w:rPr>
                <w:rFonts w:ascii="Times New Roman"/>
                <w:sz w:val="16"/>
              </w:rPr>
            </w:pPr>
          </w:p>
        </w:tc>
        <w:tc>
          <w:tcPr>
            <w:tcW w:w="718" w:type="dxa"/>
            <w:vMerge w:val="restart"/>
            <w:tcBorders>
              <w:left w:val="nil"/>
              <w:right w:val="nil"/>
            </w:tcBorders>
            <w:shd w:val="clear" w:color="auto" w:fill="9BBA58"/>
          </w:tcPr>
          <w:p>
            <w:pPr>
              <w:pStyle w:val="TableParagraph"/>
              <w:spacing w:line="240" w:lineRule="auto"/>
              <w:rPr>
                <w:rFonts w:ascii="Times New Roman"/>
                <w:sz w:val="22"/>
              </w:rPr>
            </w:pPr>
          </w:p>
        </w:tc>
        <w:tc>
          <w:tcPr>
            <w:tcW w:w="1078" w:type="dxa"/>
            <w:tcBorders>
              <w:left w:val="nil"/>
              <w:right w:val="nil"/>
            </w:tcBorders>
          </w:tcPr>
          <w:p>
            <w:pPr>
              <w:pStyle w:val="TableParagraph"/>
              <w:spacing w:line="240" w:lineRule="auto"/>
              <w:rPr>
                <w:rFonts w:ascii="Times New Roman"/>
                <w:sz w:val="16"/>
              </w:rPr>
            </w:pPr>
          </w:p>
        </w:tc>
        <w:tc>
          <w:tcPr>
            <w:tcW w:w="720" w:type="dxa"/>
            <w:vMerge w:val="restart"/>
            <w:tcBorders>
              <w:left w:val="nil"/>
              <w:right w:val="nil"/>
            </w:tcBorders>
            <w:shd w:val="clear" w:color="auto" w:fill="9BBA58"/>
          </w:tcPr>
          <w:p>
            <w:pPr>
              <w:pStyle w:val="TableParagraph"/>
              <w:spacing w:line="240" w:lineRule="auto"/>
              <w:rPr>
                <w:rFonts w:ascii="Times New Roman"/>
                <w:sz w:val="22"/>
              </w:rPr>
            </w:pPr>
          </w:p>
        </w:tc>
        <w:tc>
          <w:tcPr>
            <w:tcW w:w="1078" w:type="dxa"/>
            <w:tcBorders>
              <w:left w:val="nil"/>
              <w:right w:val="nil"/>
            </w:tcBorders>
          </w:tcPr>
          <w:p>
            <w:pPr>
              <w:pStyle w:val="TableParagraph"/>
              <w:spacing w:line="240" w:lineRule="auto"/>
              <w:rPr>
                <w:rFonts w:ascii="Times New Roman"/>
                <w:sz w:val="16"/>
              </w:rPr>
            </w:pPr>
          </w:p>
        </w:tc>
        <w:tc>
          <w:tcPr>
            <w:tcW w:w="3053" w:type="dxa"/>
            <w:vMerge/>
            <w:tcBorders>
              <w:top w:val="nil"/>
              <w:left w:val="nil"/>
              <w:bottom w:val="single" w:sz="34" w:space="0" w:color="858585"/>
              <w:right w:val="nil"/>
            </w:tcBorders>
          </w:tcPr>
          <w:p>
            <w:pPr>
              <w:rPr>
                <w:sz w:val="2"/>
                <w:szCs w:val="2"/>
              </w:rPr>
            </w:pPr>
          </w:p>
        </w:tc>
      </w:tr>
      <w:tr>
        <w:trPr>
          <w:trHeight w:val="240" w:hRule="atLeast"/>
        </w:trPr>
        <w:tc>
          <w:tcPr>
            <w:tcW w:w="540" w:type="dxa"/>
            <w:tcBorders>
              <w:right w:val="nil"/>
            </w:tcBorders>
          </w:tcPr>
          <w:p>
            <w:pPr>
              <w:pStyle w:val="TableParagraph"/>
              <w:spacing w:line="240" w:lineRule="auto"/>
              <w:rPr>
                <w:rFonts w:ascii="Times New Roman"/>
                <w:sz w:val="16"/>
              </w:rPr>
            </w:pPr>
          </w:p>
        </w:tc>
        <w:tc>
          <w:tcPr>
            <w:tcW w:w="718" w:type="dxa"/>
            <w:vMerge/>
            <w:tcBorders>
              <w:top w:val="nil"/>
              <w:left w:val="nil"/>
              <w:right w:val="nil"/>
            </w:tcBorders>
            <w:shd w:val="clear" w:color="auto" w:fill="9BBA58"/>
          </w:tcPr>
          <w:p>
            <w:pPr>
              <w:rPr>
                <w:sz w:val="2"/>
                <w:szCs w:val="2"/>
              </w:rPr>
            </w:pPr>
          </w:p>
        </w:tc>
        <w:tc>
          <w:tcPr>
            <w:tcW w:w="1078" w:type="dxa"/>
            <w:tcBorders>
              <w:left w:val="nil"/>
              <w:right w:val="nil"/>
            </w:tcBorders>
          </w:tcPr>
          <w:p>
            <w:pPr>
              <w:pStyle w:val="TableParagraph"/>
              <w:spacing w:line="240" w:lineRule="auto"/>
              <w:rPr>
                <w:rFonts w:ascii="Times New Roman"/>
                <w:sz w:val="16"/>
              </w:rPr>
            </w:pPr>
          </w:p>
        </w:tc>
        <w:tc>
          <w:tcPr>
            <w:tcW w:w="720" w:type="dxa"/>
            <w:vMerge/>
            <w:tcBorders>
              <w:top w:val="nil"/>
              <w:left w:val="nil"/>
              <w:right w:val="nil"/>
            </w:tcBorders>
            <w:shd w:val="clear" w:color="auto" w:fill="9BBA58"/>
          </w:tcPr>
          <w:p>
            <w:pPr>
              <w:rPr>
                <w:sz w:val="2"/>
                <w:szCs w:val="2"/>
              </w:rPr>
            </w:pPr>
          </w:p>
        </w:tc>
        <w:tc>
          <w:tcPr>
            <w:tcW w:w="1078" w:type="dxa"/>
            <w:tcBorders>
              <w:left w:val="nil"/>
              <w:right w:val="nil"/>
            </w:tcBorders>
          </w:tcPr>
          <w:p>
            <w:pPr>
              <w:pStyle w:val="TableParagraph"/>
              <w:spacing w:line="240" w:lineRule="auto"/>
              <w:rPr>
                <w:rFonts w:ascii="Times New Roman"/>
                <w:sz w:val="16"/>
              </w:rPr>
            </w:pPr>
          </w:p>
        </w:tc>
        <w:tc>
          <w:tcPr>
            <w:tcW w:w="3053" w:type="dxa"/>
            <w:vMerge/>
            <w:tcBorders>
              <w:top w:val="nil"/>
              <w:left w:val="nil"/>
              <w:bottom w:val="single" w:sz="34" w:space="0" w:color="858585"/>
              <w:right w:val="nil"/>
            </w:tcBorders>
          </w:tcPr>
          <w:p>
            <w:pPr>
              <w:rPr>
                <w:sz w:val="2"/>
                <w:szCs w:val="2"/>
              </w:rPr>
            </w:pPr>
          </w:p>
        </w:tc>
      </w:tr>
      <w:tr>
        <w:trPr>
          <w:trHeight w:val="240" w:hRule="atLeast"/>
        </w:trPr>
        <w:tc>
          <w:tcPr>
            <w:tcW w:w="540" w:type="dxa"/>
            <w:tcBorders>
              <w:right w:val="nil"/>
            </w:tcBorders>
          </w:tcPr>
          <w:p>
            <w:pPr>
              <w:pStyle w:val="TableParagraph"/>
              <w:spacing w:line="240" w:lineRule="auto"/>
              <w:rPr>
                <w:rFonts w:ascii="Times New Roman"/>
                <w:sz w:val="16"/>
              </w:rPr>
            </w:pPr>
          </w:p>
        </w:tc>
        <w:tc>
          <w:tcPr>
            <w:tcW w:w="718" w:type="dxa"/>
            <w:vMerge/>
            <w:tcBorders>
              <w:top w:val="nil"/>
              <w:left w:val="nil"/>
              <w:right w:val="nil"/>
            </w:tcBorders>
            <w:shd w:val="clear" w:color="auto" w:fill="9BBA58"/>
          </w:tcPr>
          <w:p>
            <w:pPr>
              <w:rPr>
                <w:sz w:val="2"/>
                <w:szCs w:val="2"/>
              </w:rPr>
            </w:pPr>
          </w:p>
        </w:tc>
        <w:tc>
          <w:tcPr>
            <w:tcW w:w="1078" w:type="dxa"/>
            <w:tcBorders>
              <w:left w:val="nil"/>
              <w:right w:val="nil"/>
            </w:tcBorders>
          </w:tcPr>
          <w:p>
            <w:pPr>
              <w:pStyle w:val="TableParagraph"/>
              <w:spacing w:line="240" w:lineRule="auto"/>
              <w:rPr>
                <w:rFonts w:ascii="Times New Roman"/>
                <w:sz w:val="16"/>
              </w:rPr>
            </w:pPr>
          </w:p>
        </w:tc>
        <w:tc>
          <w:tcPr>
            <w:tcW w:w="720" w:type="dxa"/>
            <w:vMerge/>
            <w:tcBorders>
              <w:top w:val="nil"/>
              <w:left w:val="nil"/>
              <w:right w:val="nil"/>
            </w:tcBorders>
            <w:shd w:val="clear" w:color="auto" w:fill="9BBA58"/>
          </w:tcPr>
          <w:p>
            <w:pPr>
              <w:rPr>
                <w:sz w:val="2"/>
                <w:szCs w:val="2"/>
              </w:rPr>
            </w:pPr>
          </w:p>
        </w:tc>
        <w:tc>
          <w:tcPr>
            <w:tcW w:w="1078" w:type="dxa"/>
            <w:tcBorders>
              <w:left w:val="nil"/>
              <w:right w:val="nil"/>
            </w:tcBorders>
          </w:tcPr>
          <w:p>
            <w:pPr>
              <w:pStyle w:val="TableParagraph"/>
              <w:spacing w:line="240" w:lineRule="auto"/>
              <w:rPr>
                <w:rFonts w:ascii="Times New Roman"/>
                <w:sz w:val="16"/>
              </w:rPr>
            </w:pPr>
          </w:p>
        </w:tc>
        <w:tc>
          <w:tcPr>
            <w:tcW w:w="3053" w:type="dxa"/>
            <w:vMerge/>
            <w:tcBorders>
              <w:top w:val="nil"/>
              <w:left w:val="nil"/>
              <w:bottom w:val="single" w:sz="34" w:space="0" w:color="858585"/>
              <w:right w:val="nil"/>
            </w:tcBorders>
          </w:tcPr>
          <w:p>
            <w:pPr>
              <w:rPr>
                <w:sz w:val="2"/>
                <w:szCs w:val="2"/>
              </w:rPr>
            </w:pPr>
          </w:p>
        </w:tc>
      </w:tr>
      <w:tr>
        <w:trPr>
          <w:trHeight w:val="240" w:hRule="atLeast"/>
        </w:trPr>
        <w:tc>
          <w:tcPr>
            <w:tcW w:w="540" w:type="dxa"/>
            <w:tcBorders>
              <w:right w:val="nil"/>
            </w:tcBorders>
          </w:tcPr>
          <w:p>
            <w:pPr>
              <w:pStyle w:val="TableParagraph"/>
              <w:spacing w:line="240" w:lineRule="auto"/>
              <w:rPr>
                <w:rFonts w:ascii="Times New Roman"/>
                <w:sz w:val="16"/>
              </w:rPr>
            </w:pPr>
          </w:p>
        </w:tc>
        <w:tc>
          <w:tcPr>
            <w:tcW w:w="718" w:type="dxa"/>
            <w:vMerge/>
            <w:tcBorders>
              <w:top w:val="nil"/>
              <w:left w:val="nil"/>
              <w:right w:val="nil"/>
            </w:tcBorders>
            <w:shd w:val="clear" w:color="auto" w:fill="9BBA58"/>
          </w:tcPr>
          <w:p>
            <w:pPr>
              <w:rPr>
                <w:sz w:val="2"/>
                <w:szCs w:val="2"/>
              </w:rPr>
            </w:pPr>
          </w:p>
        </w:tc>
        <w:tc>
          <w:tcPr>
            <w:tcW w:w="1078" w:type="dxa"/>
            <w:tcBorders>
              <w:left w:val="nil"/>
              <w:bottom w:val="single" w:sz="34" w:space="0" w:color="858585"/>
              <w:right w:val="nil"/>
            </w:tcBorders>
          </w:tcPr>
          <w:p>
            <w:pPr>
              <w:pStyle w:val="TableParagraph"/>
              <w:spacing w:line="240" w:lineRule="auto"/>
              <w:rPr>
                <w:rFonts w:ascii="Times New Roman"/>
                <w:sz w:val="16"/>
              </w:rPr>
            </w:pPr>
          </w:p>
        </w:tc>
        <w:tc>
          <w:tcPr>
            <w:tcW w:w="720" w:type="dxa"/>
            <w:vMerge/>
            <w:tcBorders>
              <w:top w:val="nil"/>
              <w:left w:val="nil"/>
              <w:right w:val="nil"/>
            </w:tcBorders>
            <w:shd w:val="clear" w:color="auto" w:fill="9BBA58"/>
          </w:tcPr>
          <w:p>
            <w:pPr>
              <w:rPr>
                <w:sz w:val="2"/>
                <w:szCs w:val="2"/>
              </w:rPr>
            </w:pPr>
          </w:p>
        </w:tc>
        <w:tc>
          <w:tcPr>
            <w:tcW w:w="1078" w:type="dxa"/>
            <w:tcBorders>
              <w:left w:val="nil"/>
              <w:bottom w:val="single" w:sz="34" w:space="0" w:color="858585"/>
              <w:right w:val="nil"/>
            </w:tcBorders>
          </w:tcPr>
          <w:p>
            <w:pPr>
              <w:pStyle w:val="TableParagraph"/>
              <w:spacing w:line="240" w:lineRule="auto"/>
              <w:rPr>
                <w:rFonts w:ascii="Times New Roman"/>
                <w:sz w:val="16"/>
              </w:rPr>
            </w:pPr>
          </w:p>
        </w:tc>
        <w:tc>
          <w:tcPr>
            <w:tcW w:w="3053" w:type="dxa"/>
            <w:vMerge/>
            <w:tcBorders>
              <w:top w:val="nil"/>
              <w:left w:val="nil"/>
              <w:bottom w:val="single" w:sz="34" w:space="0" w:color="858585"/>
              <w:right w:val="nil"/>
            </w:tcBorders>
          </w:tcPr>
          <w:p>
            <w:pPr>
              <w:rPr>
                <w:sz w:val="2"/>
                <w:szCs w:val="2"/>
              </w:rPr>
            </w:pPr>
          </w:p>
        </w:tc>
      </w:tr>
    </w:tbl>
    <w:p>
      <w:pPr>
        <w:pStyle w:val="BodyText"/>
        <w:rPr>
          <w:b/>
          <w:sz w:val="22"/>
        </w:rPr>
      </w:pPr>
    </w:p>
    <w:p>
      <w:pPr>
        <w:pStyle w:val="BodyText"/>
        <w:rPr>
          <w:b/>
          <w:sz w:val="22"/>
        </w:rPr>
      </w:pPr>
    </w:p>
    <w:p>
      <w:pPr>
        <w:pStyle w:val="BodyText"/>
        <w:rPr>
          <w:b/>
          <w:sz w:val="22"/>
        </w:rPr>
      </w:pPr>
    </w:p>
    <w:p>
      <w:pPr>
        <w:pStyle w:val="BodyText"/>
        <w:spacing w:before="9"/>
        <w:rPr>
          <w:b/>
        </w:rPr>
      </w:pPr>
    </w:p>
    <w:p>
      <w:pPr>
        <w:pStyle w:val="Heading3"/>
        <w:rPr>
          <w:u w:val="none"/>
        </w:rPr>
      </w:pPr>
      <w:r>
        <w:rPr>
          <w:u w:val="none"/>
        </w:rPr>
        <w:t>Outdoor Activities</w:t>
      </w:r>
    </w:p>
    <w:p>
      <w:pPr>
        <w:pStyle w:val="BodyText"/>
        <w:spacing w:line="360" w:lineRule="auto" w:before="138"/>
        <w:ind w:left="110" w:right="182"/>
      </w:pPr>
      <w:r>
        <w:rPr/>
        <w:t>30% (36) of facilities have an outdoor pitch. Of these the majority are GAA pitches (32).</w:t>
      </w:r>
    </w:p>
    <w:p>
      <w:pPr>
        <w:pStyle w:val="BodyText"/>
        <w:rPr>
          <w:sz w:val="36"/>
        </w:rPr>
      </w:pPr>
    </w:p>
    <w:p>
      <w:pPr>
        <w:spacing w:before="0"/>
        <w:ind w:left="110" w:right="0" w:firstLine="0"/>
        <w:jc w:val="left"/>
        <w:rPr>
          <w:b/>
          <w:sz w:val="20"/>
        </w:rPr>
      </w:pPr>
      <w:r>
        <w:rPr/>
        <w:pict>
          <v:group style="position:absolute;margin-left:79.574997pt;margin-top:17.094893pt;width:311.25pt;height:159pt;mso-position-horizontal-relative:page;mso-position-vertical-relative:paragraph;z-index:1408;mso-wrap-distance-left:0;mso-wrap-distance-right:0" coordorigin="1591,342" coordsize="6225,3180">
            <v:shape style="position:absolute;left:4784;top:1503;width:798;height:832" coordorigin="4784,1504" coordsize="798,832" path="m4784,1504l4784,2335,5582,2101,5557,2027,5525,1957,5487,1890,5443,1828,5395,1770,5341,1717,5283,1670,5221,1627,5155,1591,5086,1560,5014,1536,4939,1518,4863,1507,4784,1504xe" filled="true" fillcolor="#4f81bc" stroked="false">
              <v:path arrowok="t"/>
              <v:fill type="solid"/>
            </v:shape>
            <v:shape style="position:absolute;left:4784;top:2101;width:832;height:353" coordorigin="4784,2101" coordsize="832,353" path="m5582,2101l4784,2335,5607,2454,5615,2365,5614,2276,5603,2188,5582,2101xe" filled="true" fillcolor="#c0504d" stroked="false">
              <v:path arrowok="t"/>
              <v:fill type="solid"/>
            </v:shape>
            <v:shape style="position:absolute;left:3952;top:1503;width:1655;height:1664" coordorigin="3953,1504" coordsize="1655,1664" path="m4784,1504l4709,1507,4635,1517,4563,1534,4494,1556,4428,1584,4365,1617,4305,1656,4249,1699,4196,1747,4148,1800,4105,1856,4066,1916,4033,1979,4005,2045,3983,2114,3966,2186,3956,2260,3953,2335,3956,2411,3966,2485,3983,2556,4005,2626,4033,2692,4066,2755,4105,2815,4148,2871,4196,2923,4249,2971,4305,3015,4365,3053,4428,3087,4494,3115,4563,3137,4635,3154,4709,3164,4784,3167,4861,3163,4936,3153,5009,3136,5079,3113,5147,3084,5211,3049,5272,3009,5329,2964,5382,2914,5430,2860,5474,2801,5512,2738,5545,2672,5572,2602,5593,2530,5607,2454,4784,2335,4784,1504xe" filled="true" fillcolor="#9bba58" stroked="false">
              <v:path arrowok="t"/>
              <v:fill type="solid"/>
            </v:shape>
            <v:shape style="position:absolute;left:1599;top:349;width:6210;height:3165" type="#_x0000_t202" filled="false" stroked="true" strokeweight=".75pt" strokecolor="#858585">
              <v:textbox inset="0,0,0,0">
                <w:txbxContent>
                  <w:p>
                    <w:pPr>
                      <w:spacing w:before="121"/>
                      <w:ind w:left="208" w:right="0" w:firstLine="0"/>
                      <w:jc w:val="center"/>
                      <w:rPr>
                        <w:b/>
                        <w:sz w:val="28"/>
                      </w:rPr>
                    </w:pPr>
                    <w:r>
                      <w:rPr>
                        <w:b/>
                        <w:w w:val="90"/>
                        <w:sz w:val="28"/>
                      </w:rPr>
                      <w:t>Type of Pitch</w:t>
                    </w:r>
                  </w:p>
                  <w:p>
                    <w:pPr>
                      <w:tabs>
                        <w:tab w:pos="1093" w:val="left" w:leader="none"/>
                        <w:tab w:pos="1919" w:val="left" w:leader="none"/>
                      </w:tabs>
                      <w:spacing w:before="242"/>
                      <w:ind w:left="234" w:right="0" w:firstLine="0"/>
                      <w:jc w:val="center"/>
                      <w:rPr>
                        <w:sz w:val="20"/>
                      </w:rPr>
                    </w:pPr>
                    <w:r>
                      <w:rPr>
                        <w:w w:val="95"/>
                        <w:sz w:val="20"/>
                      </w:rPr>
                      <w:t>Soccer</w:t>
                      <w:tab/>
                      <w:t>Rugby</w:t>
                      <w:tab/>
                      <w:t>GAA</w:t>
                    </w:r>
                  </w:p>
                  <w:p>
                    <w:pPr>
                      <w:spacing w:line="240" w:lineRule="auto" w:before="0"/>
                      <w:rPr>
                        <w:b/>
                        <w:sz w:val="20"/>
                      </w:rPr>
                    </w:pPr>
                  </w:p>
                  <w:p>
                    <w:pPr>
                      <w:spacing w:line="240" w:lineRule="auto" w:before="3"/>
                      <w:rPr>
                        <w:b/>
                        <w:sz w:val="25"/>
                      </w:rPr>
                    </w:pPr>
                  </w:p>
                  <w:p>
                    <w:pPr>
                      <w:spacing w:before="0"/>
                      <w:ind w:left="799" w:right="0" w:firstLine="0"/>
                      <w:jc w:val="center"/>
                      <w:rPr>
                        <w:sz w:val="20"/>
                      </w:rPr>
                    </w:pPr>
                    <w:r>
                      <w:rPr>
                        <w:w w:val="95"/>
                        <w:sz w:val="20"/>
                      </w:rPr>
                      <w:t>20%</w:t>
                    </w:r>
                  </w:p>
                  <w:p>
                    <w:pPr>
                      <w:spacing w:before="144"/>
                      <w:ind w:left="4045" w:right="0" w:firstLine="0"/>
                      <w:jc w:val="left"/>
                      <w:rPr>
                        <w:sz w:val="20"/>
                      </w:rPr>
                    </w:pPr>
                    <w:r>
                      <w:rPr>
                        <w:w w:val="95"/>
                        <w:sz w:val="20"/>
                      </w:rPr>
                      <w:t>7%</w:t>
                    </w:r>
                  </w:p>
                  <w:p>
                    <w:pPr>
                      <w:spacing w:before="160"/>
                      <w:ind w:left="234" w:right="933" w:firstLine="0"/>
                      <w:jc w:val="center"/>
                      <w:rPr>
                        <w:sz w:val="20"/>
                      </w:rPr>
                    </w:pPr>
                    <w:r>
                      <w:rPr>
                        <w:w w:val="95"/>
                        <w:sz w:val="20"/>
                      </w:rPr>
                      <w:t>73%</w:t>
                    </w:r>
                  </w:p>
                </w:txbxContent>
              </v:textbox>
              <v:stroke dashstyle="solid"/>
              <w10:wrap type="none"/>
            </v:shape>
            <w10:wrap type="topAndBottom"/>
          </v:group>
        </w:pict>
      </w:r>
      <w:r>
        <w:rPr/>
        <w:pict>
          <v:rect style="position:absolute;margin-left:182.279999pt;margin-top:55.869892pt;width:5.64pt;height:5.64pt;mso-position-horizontal-relative:page;mso-position-vertical-relative:paragraph;z-index:-94024" filled="true" fillcolor="#4f81bc" stroked="false">
            <v:fill type="solid"/>
            <w10:wrap type="none"/>
          </v:rect>
        </w:pict>
      </w:r>
      <w:r>
        <w:rPr/>
        <w:pict>
          <v:rect style="position:absolute;margin-left:225.119995pt;margin-top:55.869892pt;width:5.64pt;height:5.64pt;mso-position-horizontal-relative:page;mso-position-vertical-relative:paragraph;z-index:-94000" filled="true" fillcolor="#c0504d" stroked="false">
            <v:fill type="solid"/>
            <w10:wrap type="none"/>
          </v:rect>
        </w:pict>
      </w:r>
      <w:r>
        <w:rPr/>
        <w:pict>
          <v:rect style="position:absolute;margin-left:266.399994pt;margin-top:55.869892pt;width:5.64pt;height:5.64pt;mso-position-horizontal-relative:page;mso-position-vertical-relative:paragraph;z-index:-93976" filled="true" fillcolor="#9bba58" stroked="false">
            <v:fill type="solid"/>
            <w10:wrap type="none"/>
          </v:rect>
        </w:pict>
      </w:r>
      <w:r>
        <w:rPr>
          <w:b/>
          <w:sz w:val="20"/>
        </w:rPr>
        <w:t>Figure 9: Type of Pitch</w:t>
      </w:r>
    </w:p>
    <w:p>
      <w:pPr>
        <w:pStyle w:val="BodyText"/>
        <w:rPr>
          <w:b/>
          <w:sz w:val="22"/>
        </w:rPr>
      </w:pPr>
    </w:p>
    <w:p>
      <w:pPr>
        <w:pStyle w:val="BodyText"/>
        <w:spacing w:before="10"/>
        <w:rPr>
          <w:b/>
          <w:sz w:val="22"/>
        </w:rPr>
      </w:pPr>
    </w:p>
    <w:p>
      <w:pPr>
        <w:pStyle w:val="BodyText"/>
        <w:spacing w:line="360" w:lineRule="auto"/>
        <w:ind w:left="110" w:right="101"/>
      </w:pPr>
      <w:r>
        <w:rPr/>
        <w:t>Almost all of those facilities which indicated they have an outdoor pitch also have a spectator’s stand (33) and floodlighting (31).</w:t>
      </w:r>
    </w:p>
    <w:p>
      <w:pPr>
        <w:spacing w:after="0" w:line="360" w:lineRule="auto"/>
        <w:sectPr>
          <w:pgSz w:w="11910" w:h="17340"/>
          <w:pgMar w:header="759" w:footer="1014" w:top="940" w:bottom="1200" w:left="1460" w:right="1440"/>
        </w:sectPr>
      </w:pPr>
    </w:p>
    <w:p>
      <w:pPr>
        <w:pStyle w:val="BodyText"/>
        <w:spacing w:before="3"/>
        <w:rPr>
          <w:sz w:val="15"/>
        </w:rPr>
      </w:pPr>
    </w:p>
    <w:p>
      <w:pPr>
        <w:spacing w:before="93"/>
        <w:ind w:left="230" w:right="0" w:firstLine="0"/>
        <w:jc w:val="left"/>
        <w:rPr>
          <w:b/>
          <w:sz w:val="20"/>
        </w:rPr>
      </w:pPr>
      <w:r>
        <w:rPr>
          <w:b/>
          <w:sz w:val="20"/>
        </w:rPr>
        <w:t>Table 2: Type of Outdoor Facility</w:t>
      </w:r>
    </w:p>
    <w:p>
      <w:pPr>
        <w:pStyle w:val="BodyText"/>
        <w:spacing w:before="4"/>
        <w:rPr>
          <w:b/>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03"/>
        <w:gridCol w:w="2552"/>
        <w:gridCol w:w="2372"/>
      </w:tblGrid>
      <w:tr>
        <w:trPr>
          <w:trHeight w:val="400" w:hRule="atLeast"/>
        </w:trPr>
        <w:tc>
          <w:tcPr>
            <w:tcW w:w="4503" w:type="dxa"/>
            <w:shd w:val="clear" w:color="auto" w:fill="C5D9F0"/>
          </w:tcPr>
          <w:p>
            <w:pPr>
              <w:pStyle w:val="TableParagraph"/>
              <w:spacing w:line="275" w:lineRule="exact"/>
              <w:ind w:left="102"/>
              <w:rPr>
                <w:b/>
                <w:sz w:val="24"/>
              </w:rPr>
            </w:pPr>
            <w:r>
              <w:rPr>
                <w:b/>
                <w:sz w:val="24"/>
              </w:rPr>
              <w:t>Type of Outdoor Facility</w:t>
            </w:r>
          </w:p>
        </w:tc>
        <w:tc>
          <w:tcPr>
            <w:tcW w:w="2552" w:type="dxa"/>
            <w:shd w:val="clear" w:color="auto" w:fill="C5D9F0"/>
          </w:tcPr>
          <w:p>
            <w:pPr>
              <w:pStyle w:val="TableParagraph"/>
              <w:spacing w:line="275" w:lineRule="exact"/>
              <w:ind w:left="797" w:right="798"/>
              <w:jc w:val="center"/>
              <w:rPr>
                <w:b/>
                <w:sz w:val="24"/>
              </w:rPr>
            </w:pPr>
            <w:r>
              <w:rPr>
                <w:b/>
                <w:sz w:val="24"/>
              </w:rPr>
              <w:t>Number</w:t>
            </w:r>
          </w:p>
        </w:tc>
        <w:tc>
          <w:tcPr>
            <w:tcW w:w="2372" w:type="dxa"/>
            <w:shd w:val="clear" w:color="auto" w:fill="C5D9F0"/>
          </w:tcPr>
          <w:p>
            <w:pPr>
              <w:pStyle w:val="TableParagraph"/>
              <w:spacing w:line="275" w:lineRule="exact"/>
              <w:ind w:left="513" w:right="513"/>
              <w:jc w:val="center"/>
              <w:rPr>
                <w:b/>
                <w:sz w:val="24"/>
              </w:rPr>
            </w:pPr>
            <w:r>
              <w:rPr>
                <w:b/>
                <w:sz w:val="24"/>
              </w:rPr>
              <w:t>Percentage</w:t>
            </w:r>
          </w:p>
        </w:tc>
      </w:tr>
      <w:tr>
        <w:trPr>
          <w:trHeight w:val="400" w:hRule="atLeast"/>
        </w:trPr>
        <w:tc>
          <w:tcPr>
            <w:tcW w:w="4503" w:type="dxa"/>
          </w:tcPr>
          <w:p>
            <w:pPr>
              <w:pStyle w:val="TableParagraph"/>
              <w:spacing w:line="274" w:lineRule="exact"/>
              <w:ind w:left="102"/>
              <w:rPr>
                <w:sz w:val="24"/>
              </w:rPr>
            </w:pPr>
            <w:r>
              <w:rPr>
                <w:sz w:val="24"/>
              </w:rPr>
              <w:t>‘All Weather Pitch’</w:t>
            </w:r>
          </w:p>
        </w:tc>
        <w:tc>
          <w:tcPr>
            <w:tcW w:w="2552" w:type="dxa"/>
          </w:tcPr>
          <w:p>
            <w:pPr>
              <w:pStyle w:val="TableParagraph"/>
              <w:spacing w:line="274" w:lineRule="exact"/>
              <w:ind w:left="797" w:right="796"/>
              <w:jc w:val="center"/>
              <w:rPr>
                <w:sz w:val="24"/>
              </w:rPr>
            </w:pPr>
            <w:r>
              <w:rPr>
                <w:sz w:val="24"/>
              </w:rPr>
              <w:t>10</w:t>
            </w:r>
          </w:p>
        </w:tc>
        <w:tc>
          <w:tcPr>
            <w:tcW w:w="2372" w:type="dxa"/>
          </w:tcPr>
          <w:p>
            <w:pPr>
              <w:pStyle w:val="TableParagraph"/>
              <w:spacing w:line="274" w:lineRule="exact"/>
              <w:ind w:left="512" w:right="513"/>
              <w:jc w:val="center"/>
              <w:rPr>
                <w:sz w:val="24"/>
              </w:rPr>
            </w:pPr>
            <w:r>
              <w:rPr>
                <w:sz w:val="24"/>
              </w:rPr>
              <w:t>10%</w:t>
            </w:r>
          </w:p>
        </w:tc>
      </w:tr>
      <w:tr>
        <w:trPr>
          <w:trHeight w:val="400" w:hRule="atLeast"/>
        </w:trPr>
        <w:tc>
          <w:tcPr>
            <w:tcW w:w="4503" w:type="dxa"/>
          </w:tcPr>
          <w:p>
            <w:pPr>
              <w:pStyle w:val="TableParagraph"/>
              <w:spacing w:line="274" w:lineRule="exact"/>
              <w:ind w:left="102"/>
              <w:rPr>
                <w:sz w:val="24"/>
              </w:rPr>
            </w:pPr>
            <w:r>
              <w:rPr>
                <w:sz w:val="24"/>
              </w:rPr>
              <w:t>Spectator’s Stand</w:t>
            </w:r>
          </w:p>
        </w:tc>
        <w:tc>
          <w:tcPr>
            <w:tcW w:w="2552" w:type="dxa"/>
          </w:tcPr>
          <w:p>
            <w:pPr>
              <w:pStyle w:val="TableParagraph"/>
              <w:spacing w:line="274" w:lineRule="exact"/>
              <w:ind w:left="797" w:right="796"/>
              <w:jc w:val="center"/>
              <w:rPr>
                <w:sz w:val="24"/>
              </w:rPr>
            </w:pPr>
            <w:r>
              <w:rPr>
                <w:sz w:val="24"/>
              </w:rPr>
              <w:t>33</w:t>
            </w:r>
          </w:p>
        </w:tc>
        <w:tc>
          <w:tcPr>
            <w:tcW w:w="2372" w:type="dxa"/>
          </w:tcPr>
          <w:p>
            <w:pPr>
              <w:pStyle w:val="TableParagraph"/>
              <w:spacing w:line="274" w:lineRule="exact"/>
              <w:ind w:left="512" w:right="513"/>
              <w:jc w:val="center"/>
              <w:rPr>
                <w:sz w:val="24"/>
              </w:rPr>
            </w:pPr>
            <w:r>
              <w:rPr>
                <w:sz w:val="24"/>
              </w:rPr>
              <w:t>33%</w:t>
            </w:r>
          </w:p>
        </w:tc>
      </w:tr>
      <w:tr>
        <w:trPr>
          <w:trHeight w:val="400" w:hRule="atLeast"/>
        </w:trPr>
        <w:tc>
          <w:tcPr>
            <w:tcW w:w="4503" w:type="dxa"/>
          </w:tcPr>
          <w:p>
            <w:pPr>
              <w:pStyle w:val="TableParagraph"/>
              <w:spacing w:line="274" w:lineRule="exact"/>
              <w:ind w:left="102"/>
              <w:rPr>
                <w:sz w:val="24"/>
              </w:rPr>
            </w:pPr>
            <w:r>
              <w:rPr>
                <w:sz w:val="24"/>
              </w:rPr>
              <w:t>Floodlighting</w:t>
            </w:r>
          </w:p>
        </w:tc>
        <w:tc>
          <w:tcPr>
            <w:tcW w:w="2552" w:type="dxa"/>
          </w:tcPr>
          <w:p>
            <w:pPr>
              <w:pStyle w:val="TableParagraph"/>
              <w:spacing w:line="274" w:lineRule="exact"/>
              <w:ind w:left="797" w:right="796"/>
              <w:jc w:val="center"/>
              <w:rPr>
                <w:sz w:val="24"/>
              </w:rPr>
            </w:pPr>
            <w:r>
              <w:rPr>
                <w:sz w:val="24"/>
              </w:rPr>
              <w:t>31</w:t>
            </w:r>
          </w:p>
        </w:tc>
        <w:tc>
          <w:tcPr>
            <w:tcW w:w="2372" w:type="dxa"/>
          </w:tcPr>
          <w:p>
            <w:pPr>
              <w:pStyle w:val="TableParagraph"/>
              <w:spacing w:line="274" w:lineRule="exact"/>
              <w:ind w:left="512" w:right="513"/>
              <w:jc w:val="center"/>
              <w:rPr>
                <w:sz w:val="24"/>
              </w:rPr>
            </w:pPr>
            <w:r>
              <w:rPr>
                <w:sz w:val="24"/>
              </w:rPr>
              <w:t>30%</w:t>
            </w:r>
          </w:p>
        </w:tc>
      </w:tr>
      <w:tr>
        <w:trPr>
          <w:trHeight w:val="400" w:hRule="atLeast"/>
        </w:trPr>
        <w:tc>
          <w:tcPr>
            <w:tcW w:w="4503" w:type="dxa"/>
          </w:tcPr>
          <w:p>
            <w:pPr>
              <w:pStyle w:val="TableParagraph"/>
              <w:spacing w:line="274" w:lineRule="exact"/>
              <w:ind w:left="102"/>
              <w:rPr>
                <w:sz w:val="24"/>
              </w:rPr>
            </w:pPr>
            <w:r>
              <w:rPr>
                <w:sz w:val="24"/>
              </w:rPr>
              <w:t>Walking/Running Track</w:t>
            </w:r>
          </w:p>
        </w:tc>
        <w:tc>
          <w:tcPr>
            <w:tcW w:w="2552" w:type="dxa"/>
          </w:tcPr>
          <w:p>
            <w:pPr>
              <w:pStyle w:val="TableParagraph"/>
              <w:spacing w:line="274" w:lineRule="exact"/>
              <w:ind w:left="797" w:right="796"/>
              <w:jc w:val="center"/>
              <w:rPr>
                <w:sz w:val="24"/>
              </w:rPr>
            </w:pPr>
            <w:r>
              <w:rPr>
                <w:sz w:val="24"/>
              </w:rPr>
              <w:t>26</w:t>
            </w:r>
          </w:p>
        </w:tc>
        <w:tc>
          <w:tcPr>
            <w:tcW w:w="2372" w:type="dxa"/>
          </w:tcPr>
          <w:p>
            <w:pPr>
              <w:pStyle w:val="TableParagraph"/>
              <w:spacing w:line="274" w:lineRule="exact"/>
              <w:ind w:left="512" w:right="513"/>
              <w:jc w:val="center"/>
              <w:rPr>
                <w:sz w:val="24"/>
              </w:rPr>
            </w:pPr>
            <w:r>
              <w:rPr>
                <w:sz w:val="24"/>
              </w:rPr>
              <w:t>25%</w:t>
            </w:r>
          </w:p>
        </w:tc>
      </w:tr>
    </w:tbl>
    <w:p>
      <w:pPr>
        <w:pStyle w:val="BodyText"/>
        <w:rPr>
          <w:b/>
          <w:sz w:val="22"/>
        </w:rPr>
      </w:pPr>
    </w:p>
    <w:p>
      <w:pPr>
        <w:pStyle w:val="BodyText"/>
        <w:spacing w:line="360" w:lineRule="auto" w:before="158"/>
        <w:ind w:left="230" w:right="256"/>
      </w:pPr>
      <w:r>
        <w:rPr/>
        <w:t>Respondents were asked what other type of leisure or sporting facilities were available at their premises. The most common response received was playgrounds, followed by handball alley and tennis court, as illustrated in Figure 10. Respondents were invited to indicate ‘other’ outside facilities available and those put forward included, training pitch areas, recreation/gardening areas, outdoor gyms etc. A full listing can be found the Appendix</w:t>
      </w:r>
      <w:r>
        <w:rPr>
          <w:spacing w:val="-5"/>
        </w:rPr>
        <w:t> </w:t>
      </w:r>
      <w:r>
        <w:rPr/>
        <w:t>6.</w:t>
      </w:r>
    </w:p>
    <w:p>
      <w:pPr>
        <w:pStyle w:val="BodyText"/>
        <w:rPr>
          <w:sz w:val="30"/>
        </w:rPr>
      </w:pPr>
    </w:p>
    <w:p>
      <w:pPr>
        <w:spacing w:before="0"/>
        <w:ind w:left="230" w:right="0" w:firstLine="0"/>
        <w:jc w:val="left"/>
        <w:rPr>
          <w:b/>
          <w:sz w:val="20"/>
        </w:rPr>
      </w:pPr>
      <w:r>
        <w:rPr/>
        <w:pict>
          <v:group style="position:absolute;margin-left:79.574997pt;margin-top:17.074884pt;width:331.5pt;height:180pt;mso-position-horizontal-relative:page;mso-position-vertical-relative:paragraph;z-index:1768;mso-wrap-distance-left:0;mso-wrap-distance-right:0" coordorigin="1591,341" coordsize="6630,3600">
            <v:shape style="position:absolute;left:4381;top:1861;width:1533;height:1877" coordorigin="4381,1862" coordsize="1533,1877" path="m4975,1862l4975,2800,4381,3526,4443,3573,4507,3613,4573,3648,4641,3677,4710,3701,4781,3718,4853,3731,4925,3737,4997,3738,5069,3734,5140,3724,5210,3709,5280,3688,5347,3662,5413,3630,5477,3594,5538,3552,5596,3504,5650,3452,5701,3394,5748,3333,5788,3269,5823,3203,5852,3135,5876,3065,5893,2994,5906,2923,5912,2851,5913,2779,5909,2707,5899,2635,5884,2565,5863,2496,5837,2428,5805,2362,5769,2299,5727,2238,5679,2180,5627,2125,5569,2074,5505,2025,5436,1983,5365,1947,5291,1916,5214,1893,5136,1876,5056,1865,4975,1862xe" filled="true" fillcolor="#4f81bc" stroked="false">
              <v:path arrowok="t"/>
              <v:fill type="solid"/>
            </v:shape>
            <v:shape style="position:absolute;left:4037;top:2608;width:938;height:918" coordorigin="4037,2609" coordsize="938,918" path="m4056,2609l4043,2688,4037,2767,4038,2846,4045,2924,4059,3001,4078,3076,4104,3149,4136,3220,4174,3289,4218,3354,4267,3415,4321,3473,4381,3526,4975,2800,4056,2609xe" filled="true" fillcolor="#c0504d" stroked="false">
              <v:path arrowok="t"/>
              <v:fill type="solid"/>
            </v:shape>
            <v:shape style="position:absolute;left:4056;top:1861;width:919;height:939" coordorigin="4056,1862" coordsize="919,939" path="m4975,1862l4897,1865,4821,1874,4747,1890,4675,1911,4605,1938,4537,1970,4473,2007,4412,2049,4355,2096,4301,2147,4252,2203,4206,2262,4166,2325,4130,2391,4100,2461,4075,2534,4056,2609,4975,2800,4975,1862xe" filled="true" fillcolor="#9bba58" stroked="false">
              <v:path arrowok="t"/>
              <v:fill type="solid"/>
            </v:shape>
            <v:rect style="position:absolute;left:2901;top:1458;width:113;height:113" filled="true" fillcolor="#4f81bc" stroked="false">
              <v:fill type="solid"/>
            </v:rect>
            <v:rect style="position:absolute;left:4231;top:1458;width:111;height:113" filled="true" fillcolor="#c0504d" stroked="false">
              <v:fill type="solid"/>
            </v:rect>
            <v:rect style="position:absolute;left:5668;top:1458;width:113;height:113" filled="true" fillcolor="#9bba58" stroked="false">
              <v:fill type="solid"/>
            </v:rect>
            <v:rect style="position:absolute;left:1599;top:348;width:6615;height:3585" filled="false" stroked="true" strokeweight=".75pt" strokecolor="#858585">
              <v:stroke dashstyle="solid"/>
            </v:rect>
            <v:shape style="position:absolute;left:3057;top:555;width:3948;height:1066" type="#_x0000_t202" filled="false" stroked="false">
              <v:textbox inset="0,0,0,0">
                <w:txbxContent>
                  <w:p>
                    <w:pPr>
                      <w:spacing w:line="270" w:lineRule="exact" w:before="0"/>
                      <w:ind w:left="816" w:right="0" w:hanging="771"/>
                      <w:jc w:val="left"/>
                      <w:rPr>
                        <w:b/>
                        <w:sz w:val="28"/>
                      </w:rPr>
                    </w:pPr>
                    <w:r>
                      <w:rPr>
                        <w:b/>
                        <w:w w:val="90"/>
                        <w:sz w:val="28"/>
                      </w:rPr>
                      <w:t>Other outdoor leisure/sporting</w:t>
                    </w:r>
                  </w:p>
                  <w:p>
                    <w:pPr>
                      <w:spacing w:before="21"/>
                      <w:ind w:left="818" w:right="1065" w:firstLine="0"/>
                      <w:jc w:val="center"/>
                      <w:rPr>
                        <w:b/>
                        <w:sz w:val="28"/>
                      </w:rPr>
                    </w:pPr>
                    <w:r>
                      <w:rPr>
                        <w:b/>
                        <w:w w:val="85"/>
                        <w:sz w:val="28"/>
                      </w:rPr>
                      <w:t>facilities available</w:t>
                    </w:r>
                  </w:p>
                  <w:p>
                    <w:pPr>
                      <w:tabs>
                        <w:tab w:pos="1329" w:val="left" w:leader="none"/>
                        <w:tab w:pos="2768" w:val="left" w:leader="none"/>
                      </w:tabs>
                      <w:spacing w:before="214"/>
                      <w:ind w:left="0" w:right="0" w:firstLine="0"/>
                      <w:jc w:val="left"/>
                      <w:rPr>
                        <w:sz w:val="20"/>
                      </w:rPr>
                    </w:pPr>
                    <w:r>
                      <w:rPr>
                        <w:w w:val="95"/>
                        <w:sz w:val="20"/>
                      </w:rPr>
                      <w:t>Playground</w:t>
                      <w:tab/>
                      <w:t>Tennis</w:t>
                    </w:r>
                    <w:r>
                      <w:rPr>
                        <w:spacing w:val="-26"/>
                        <w:w w:val="95"/>
                        <w:sz w:val="20"/>
                      </w:rPr>
                      <w:t> </w:t>
                    </w:r>
                    <w:r>
                      <w:rPr>
                        <w:w w:val="95"/>
                        <w:sz w:val="20"/>
                      </w:rPr>
                      <w:t>Court</w:t>
                      <w:tab/>
                    </w:r>
                    <w:r>
                      <w:rPr>
                        <w:w w:val="90"/>
                        <w:sz w:val="20"/>
                      </w:rPr>
                      <w:t>Handball</w:t>
                    </w:r>
                    <w:r>
                      <w:rPr>
                        <w:spacing w:val="5"/>
                        <w:w w:val="90"/>
                        <w:sz w:val="20"/>
                      </w:rPr>
                      <w:t> </w:t>
                    </w:r>
                    <w:r>
                      <w:rPr>
                        <w:w w:val="90"/>
                        <w:sz w:val="20"/>
                      </w:rPr>
                      <w:t>Alley</w:t>
                    </w:r>
                  </w:p>
                </w:txbxContent>
              </v:textbox>
              <w10:wrap type="none"/>
            </v:shape>
            <v:shape style="position:absolute;left:4375;top:2220;width:364;height:200" type="#_x0000_t202" filled="false" stroked="false">
              <v:textbox inset="0,0,0,0">
                <w:txbxContent>
                  <w:p>
                    <w:pPr>
                      <w:spacing w:line="192" w:lineRule="exact" w:before="0"/>
                      <w:ind w:left="0" w:right="0" w:firstLine="0"/>
                      <w:jc w:val="left"/>
                      <w:rPr>
                        <w:sz w:val="20"/>
                      </w:rPr>
                    </w:pPr>
                    <w:r>
                      <w:rPr>
                        <w:w w:val="85"/>
                        <w:sz w:val="20"/>
                      </w:rPr>
                      <w:t>22%</w:t>
                    </w:r>
                  </w:p>
                </w:txbxContent>
              </v:textbox>
              <w10:wrap type="none"/>
            </v:shape>
            <v:shape style="position:absolute;left:4165;top:2910;width:364;height:200" type="#_x0000_t202" filled="false" stroked="false">
              <v:textbox inset="0,0,0,0">
                <w:txbxContent>
                  <w:p>
                    <w:pPr>
                      <w:spacing w:line="192" w:lineRule="exact" w:before="0"/>
                      <w:ind w:left="0" w:right="0" w:firstLine="0"/>
                      <w:jc w:val="left"/>
                      <w:rPr>
                        <w:sz w:val="20"/>
                      </w:rPr>
                    </w:pPr>
                    <w:r>
                      <w:rPr>
                        <w:w w:val="85"/>
                        <w:sz w:val="20"/>
                      </w:rPr>
                      <w:t>17%</w:t>
                    </w:r>
                  </w:p>
                </w:txbxContent>
              </v:textbox>
              <w10:wrap type="none"/>
            </v:shape>
            <v:shape style="position:absolute;left:5380;top:3000;width:364;height:200" type="#_x0000_t202" filled="false" stroked="false">
              <v:textbox inset="0,0,0,0">
                <w:txbxContent>
                  <w:p>
                    <w:pPr>
                      <w:spacing w:line="192" w:lineRule="exact" w:before="0"/>
                      <w:ind w:left="0" w:right="0" w:firstLine="0"/>
                      <w:jc w:val="left"/>
                      <w:rPr>
                        <w:sz w:val="20"/>
                      </w:rPr>
                    </w:pPr>
                    <w:r>
                      <w:rPr>
                        <w:w w:val="85"/>
                        <w:sz w:val="20"/>
                      </w:rPr>
                      <w:t>61%</w:t>
                    </w:r>
                  </w:p>
                </w:txbxContent>
              </v:textbox>
              <w10:wrap type="none"/>
            </v:shape>
            <w10:wrap type="topAndBottom"/>
          </v:group>
        </w:pict>
      </w:r>
      <w:r>
        <w:rPr>
          <w:b/>
          <w:sz w:val="20"/>
        </w:rPr>
        <w:t>Figure 10: ‘Other’ outdoor leisure/sporting facilities</w:t>
      </w:r>
    </w:p>
    <w:p>
      <w:pPr>
        <w:pStyle w:val="BodyText"/>
        <w:rPr>
          <w:b/>
          <w:sz w:val="22"/>
        </w:rPr>
      </w:pPr>
    </w:p>
    <w:p>
      <w:pPr>
        <w:pStyle w:val="BodyText"/>
        <w:spacing w:before="8"/>
        <w:rPr>
          <w:b/>
          <w:sz w:val="22"/>
        </w:rPr>
      </w:pPr>
    </w:p>
    <w:p>
      <w:pPr>
        <w:pStyle w:val="Heading3"/>
        <w:ind w:left="230"/>
        <w:rPr>
          <w:u w:val="none"/>
        </w:rPr>
      </w:pPr>
      <w:r>
        <w:rPr>
          <w:u w:val="none"/>
        </w:rPr>
        <w:t>Indoor Facilities</w:t>
      </w:r>
    </w:p>
    <w:p>
      <w:pPr>
        <w:pStyle w:val="BodyText"/>
        <w:spacing w:line="360" w:lineRule="auto" w:before="138"/>
        <w:ind w:left="230" w:right="415"/>
      </w:pPr>
      <w:r>
        <w:rPr/>
        <w:t>Almost all of the facilities (97%) have toilets available, followed by a kitchen 81% and furniture, 78%. For a listing of ‘Other’ indoor facilities given please see Appendix 7.</w:t>
      </w:r>
    </w:p>
    <w:p>
      <w:pPr>
        <w:spacing w:after="0" w:line="360" w:lineRule="auto"/>
        <w:sectPr>
          <w:pgSz w:w="11910" w:h="17340"/>
          <w:pgMar w:header="759" w:footer="1014" w:top="940" w:bottom="1200" w:left="1340" w:right="900"/>
        </w:sectPr>
      </w:pPr>
    </w:p>
    <w:p>
      <w:pPr>
        <w:pStyle w:val="BodyText"/>
        <w:spacing w:before="3"/>
        <w:rPr>
          <w:sz w:val="15"/>
        </w:rPr>
      </w:pPr>
    </w:p>
    <w:p>
      <w:pPr>
        <w:spacing w:before="93"/>
        <w:ind w:left="110" w:right="0" w:firstLine="0"/>
        <w:jc w:val="left"/>
        <w:rPr>
          <w:b/>
          <w:sz w:val="20"/>
        </w:rPr>
      </w:pPr>
      <w:r>
        <w:rPr/>
        <w:pict>
          <v:group style="position:absolute;margin-left:79.574997pt;margin-top:21.7349pt;width:432.75pt;height:255.75pt;mso-position-horizontal-relative:page;mso-position-vertical-relative:paragraph;z-index:1816;mso-wrap-distance-left:0;mso-wrap-distance-right:0" coordorigin="1591,435" coordsize="8655,5115">
            <v:shape style="position:absolute;left:9328;top:3707;width:241;height:240" type="#_x0000_t75" stroked="false">
              <v:imagedata r:id="rId24" o:title=""/>
            </v:shape>
            <v:shape style="position:absolute;left:1599;top:442;width:8640;height:5100" type="#_x0000_t202" filled="false" stroked="true" strokeweight=".75pt" strokecolor="#858585">
              <v:textbox inset="0,0,0,0">
                <w:txbxContent>
                  <w:p>
                    <w:pPr>
                      <w:spacing w:before="146"/>
                      <w:ind w:left="1649" w:right="0" w:firstLine="0"/>
                      <w:jc w:val="left"/>
                      <w:rPr>
                        <w:b/>
                        <w:sz w:val="28"/>
                      </w:rPr>
                    </w:pPr>
                    <w:r>
                      <w:rPr>
                        <w:b/>
                        <w:w w:val="90"/>
                        <w:sz w:val="28"/>
                      </w:rPr>
                      <w:t>Does the facility have access to the following?</w:t>
                    </w:r>
                  </w:p>
                  <w:p>
                    <w:pPr>
                      <w:spacing w:before="136"/>
                      <w:ind w:left="72" w:right="7848" w:firstLine="0"/>
                      <w:jc w:val="center"/>
                      <w:rPr>
                        <w:sz w:val="20"/>
                      </w:rPr>
                    </w:pPr>
                    <w:r>
                      <w:rPr>
                        <w:sz w:val="20"/>
                      </w:rPr>
                      <w:t>120.0%</w:t>
                    </w:r>
                  </w:p>
                  <w:p>
                    <w:pPr>
                      <w:spacing w:before="156"/>
                      <w:ind w:left="72" w:right="7848" w:firstLine="0"/>
                      <w:jc w:val="center"/>
                      <w:rPr>
                        <w:sz w:val="20"/>
                      </w:rPr>
                    </w:pPr>
                    <w:r>
                      <w:rPr>
                        <w:sz w:val="20"/>
                      </w:rPr>
                      <w:t>100.0%</w:t>
                    </w:r>
                  </w:p>
                  <w:p>
                    <w:pPr>
                      <w:spacing w:before="156"/>
                      <w:ind w:left="72" w:right="7746" w:firstLine="0"/>
                      <w:jc w:val="center"/>
                      <w:rPr>
                        <w:sz w:val="20"/>
                      </w:rPr>
                    </w:pPr>
                    <w:r>
                      <w:rPr>
                        <w:w w:val="95"/>
                        <w:sz w:val="20"/>
                      </w:rPr>
                      <w:t>80.0%</w:t>
                    </w:r>
                  </w:p>
                  <w:p>
                    <w:pPr>
                      <w:spacing w:before="156"/>
                      <w:ind w:left="72" w:right="7746" w:firstLine="0"/>
                      <w:jc w:val="center"/>
                      <w:rPr>
                        <w:sz w:val="20"/>
                      </w:rPr>
                    </w:pPr>
                    <w:r>
                      <w:rPr>
                        <w:w w:val="95"/>
                        <w:sz w:val="20"/>
                      </w:rPr>
                      <w:t>60.0%</w:t>
                    </w:r>
                  </w:p>
                  <w:p>
                    <w:pPr>
                      <w:spacing w:before="156"/>
                      <w:ind w:left="72" w:right="7746" w:firstLine="0"/>
                      <w:jc w:val="center"/>
                      <w:rPr>
                        <w:sz w:val="20"/>
                      </w:rPr>
                    </w:pPr>
                    <w:r>
                      <w:rPr>
                        <w:w w:val="95"/>
                        <w:sz w:val="20"/>
                      </w:rPr>
                      <w:t>40.0%</w:t>
                    </w:r>
                  </w:p>
                  <w:p>
                    <w:pPr>
                      <w:spacing w:before="156"/>
                      <w:ind w:left="72" w:right="7746" w:firstLine="0"/>
                      <w:jc w:val="center"/>
                      <w:rPr>
                        <w:sz w:val="20"/>
                      </w:rPr>
                    </w:pPr>
                    <w:r>
                      <w:rPr>
                        <w:w w:val="95"/>
                        <w:sz w:val="20"/>
                      </w:rPr>
                      <w:t>20.0%</w:t>
                    </w:r>
                  </w:p>
                  <w:p>
                    <w:pPr>
                      <w:spacing w:before="156"/>
                      <w:ind w:left="72" w:right="7646" w:firstLine="0"/>
                      <w:jc w:val="center"/>
                      <w:rPr>
                        <w:sz w:val="20"/>
                      </w:rPr>
                    </w:pPr>
                    <w:r>
                      <w:rPr>
                        <w:w w:val="95"/>
                        <w:sz w:val="20"/>
                      </w:rPr>
                      <w:t>0.0%</w:t>
                    </w:r>
                  </w:p>
                </w:txbxContent>
              </v:textbox>
              <v:stroke dashstyle="solid"/>
              <w10:wrap type="none"/>
            </v:shape>
            <w10:wrap type="topAndBottom"/>
          </v:group>
        </w:pict>
      </w:r>
      <w:r>
        <w:rPr/>
        <w:pict>
          <v:group style="position:absolute;margin-left:125.385002pt;margin-top:58.894901pt;width:376pt;height:116.8pt;mso-position-horizontal-relative:page;mso-position-vertical-relative:paragraph;z-index:-93640" coordorigin="2508,1178" coordsize="7520,2336">
            <v:shape style="position:absolute;left:2515;top:1958;width:7505;height:1162" coordorigin="2515,1958" coordsize="7505,1162" path="m8882,3120l10020,3120m7944,3120l8345,3120m7006,3120l7406,3120m6067,3120l6468,3120m5129,3120l5532,3120m4190,3120l4594,3120m3252,3120l3655,3120m2515,3120l2717,3120m3252,2733l3655,2733m2515,2733l2717,2733m3252,2345l3655,2345m2515,2345l2717,2345m3252,1958l4594,1958m2515,1958l2717,1958e" filled="false" stroked="true" strokeweight=".72pt" strokecolor="#858585">
              <v:path arrowok="t"/>
              <v:stroke dashstyle="solid"/>
            </v:shape>
            <v:line style="position:absolute" from="2515,1572" to="10020,1572" stroked="true" strokeweight=".72pt" strokecolor="#858585">
              <v:stroke dashstyle="solid"/>
            </v:line>
            <v:rect style="position:absolute;left:2716;top:1634;width:536;height:1872" filled="true" fillcolor="#9bba58" stroked="false">
              <v:fill type="solid"/>
            </v:rect>
            <v:shape style="position:absolute;left:4190;top:2344;width:404;height:389" coordorigin="4190,2345" coordsize="404,389" path="m4190,2733l4594,2733m4190,2345l4594,2345e" filled="false" stroked="true" strokeweight=".72pt" strokecolor="#858585">
              <v:path arrowok="t"/>
              <v:stroke dashstyle="solid"/>
            </v:shape>
            <v:rect style="position:absolute;left:3655;top:2133;width:536;height:1373" filled="true" fillcolor="#9bba58" stroked="false">
              <v:fill type="solid"/>
            </v:rect>
            <v:shape style="position:absolute;left:5128;top:1958;width:4892;height:776" coordorigin="5129,1958" coordsize="4892,776" path="m5129,2733l7406,2733m5129,2345l7406,2345m5129,1958l10020,1958e" filled="false" stroked="true" strokeweight=".72pt" strokecolor="#858585">
              <v:path arrowok="t"/>
              <v:stroke dashstyle="solid"/>
            </v:shape>
            <v:shape style="position:absolute;left:4593;top:1929;width:2412;height:1577" coordorigin="4594,1929" coordsize="2412,1577" path="m5129,1929l4594,1929,4594,3506,5129,3506,5129,1929m6067,3084l5532,3084,5532,3506,6067,3506,6067,3084m7006,2834l6468,2834,6468,3506,7006,3506,7006,2834e" filled="true" fillcolor="#9bba58" stroked="false">
              <v:path arrowok="t"/>
              <v:fill type="solid"/>
            </v:shape>
            <v:shape style="position:absolute;left:7944;top:2344;width:2076;height:389" coordorigin="7944,2345" coordsize="2076,389" path="m7944,2733l8345,2733m7944,2345l10020,2345e" filled="false" stroked="true" strokeweight=".72pt" strokecolor="#858585">
              <v:path arrowok="t"/>
              <v:stroke dashstyle="solid"/>
            </v:shape>
            <v:rect style="position:absolute;left:7406;top:1994;width:538;height:1512" filled="true" fillcolor="#9bba58" stroked="false">
              <v:fill type="solid"/>
            </v:rect>
            <v:line style="position:absolute" from="8882,2733" to="10020,2733" stroked="true" strokeweight=".72pt" strokecolor="#858585">
              <v:stroke dashstyle="solid"/>
            </v:line>
            <v:shape style="position:absolute;left:8344;top:2726;width:1476;height:780" coordorigin="8345,2726" coordsize="1476,780" path="m8882,2726l8345,2726,8345,3506,8882,3506,8882,2726m9821,3365l9283,3365,9283,3506,9821,3506,9821,3365e" filled="true" fillcolor="#9bba58" stroked="false">
              <v:path arrowok="t"/>
              <v:fill type="solid"/>
            </v:shape>
            <v:shape style="position:absolute;left:2515;top:1185;width:7505;height:2321" coordorigin="2515,1185" coordsize="7505,2321" path="m2515,1185l10020,1185m2515,3506l2515,1185m2515,3506l10020,3506e" filled="false" stroked="true" strokeweight=".72pt" strokecolor="#858585">
              <v:path arrowok="t"/>
              <v:stroke dashstyle="solid"/>
            </v:shape>
            <w10:wrap type="none"/>
          </v:group>
        </w:pict>
      </w:r>
      <w:r>
        <w:rPr>
          <w:b/>
          <w:sz w:val="20"/>
        </w:rPr>
        <w:t>Figure 11: Types of facilities available within the premises</w:t>
      </w:r>
    </w:p>
    <w:p>
      <w:pPr>
        <w:pStyle w:val="BodyText"/>
        <w:rPr>
          <w:b/>
          <w:sz w:val="22"/>
        </w:rPr>
      </w:pPr>
    </w:p>
    <w:p>
      <w:pPr>
        <w:pStyle w:val="BodyText"/>
        <w:spacing w:before="7"/>
        <w:rPr>
          <w:b/>
          <w:sz w:val="22"/>
        </w:rPr>
      </w:pPr>
    </w:p>
    <w:p>
      <w:pPr>
        <w:pStyle w:val="BodyText"/>
        <w:spacing w:before="1"/>
        <w:ind w:left="110"/>
      </w:pPr>
      <w:r>
        <w:rPr/>
        <w:drawing>
          <wp:anchor distT="0" distB="0" distL="0" distR="0" allowOverlap="1" layoutInCell="1" locked="0" behindDoc="1" simplePos="0" relativeHeight="268341839">
            <wp:simplePos x="0" y="0"/>
            <wp:positionH relativeFrom="page">
              <wp:posOffset>1627632</wp:posOffset>
            </wp:positionH>
            <wp:positionV relativeFrom="paragraph">
              <wp:posOffset>-1511987</wp:posOffset>
            </wp:positionV>
            <wp:extent cx="888482" cy="638175"/>
            <wp:effectExtent l="0" t="0" r="0" b="0"/>
            <wp:wrapNone/>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25" cstate="print"/>
                    <a:stretch>
                      <a:fillRect/>
                    </a:stretch>
                  </pic:blipFill>
                  <pic:spPr>
                    <a:xfrm>
                      <a:off x="0" y="0"/>
                      <a:ext cx="888482" cy="638175"/>
                    </a:xfrm>
                    <a:prstGeom prst="rect">
                      <a:avLst/>
                    </a:prstGeom>
                  </pic:spPr>
                </pic:pic>
              </a:graphicData>
            </a:graphic>
          </wp:anchor>
        </w:drawing>
      </w:r>
      <w:r>
        <w:rPr/>
        <w:drawing>
          <wp:anchor distT="0" distB="0" distL="0" distR="0" allowOverlap="1" layoutInCell="1" locked="0" behindDoc="1" simplePos="0" relativeHeight="268341863">
            <wp:simplePos x="0" y="0"/>
            <wp:positionH relativeFrom="page">
              <wp:posOffset>2773426</wp:posOffset>
            </wp:positionH>
            <wp:positionV relativeFrom="paragraph">
              <wp:posOffset>-1481761</wp:posOffset>
            </wp:positionV>
            <wp:extent cx="312869" cy="290512"/>
            <wp:effectExtent l="0" t="0" r="0" b="0"/>
            <wp:wrapNone/>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26" cstate="print"/>
                    <a:stretch>
                      <a:fillRect/>
                    </a:stretch>
                  </pic:blipFill>
                  <pic:spPr>
                    <a:xfrm>
                      <a:off x="0" y="0"/>
                      <a:ext cx="312869" cy="290512"/>
                    </a:xfrm>
                    <a:prstGeom prst="rect">
                      <a:avLst/>
                    </a:prstGeom>
                  </pic:spPr>
                </pic:pic>
              </a:graphicData>
            </a:graphic>
          </wp:anchor>
        </w:drawing>
      </w:r>
      <w:r>
        <w:rPr/>
        <w:drawing>
          <wp:anchor distT="0" distB="0" distL="0" distR="0" allowOverlap="1" layoutInCell="1" locked="0" behindDoc="1" simplePos="0" relativeHeight="268341887">
            <wp:simplePos x="0" y="0"/>
            <wp:positionH relativeFrom="page">
              <wp:posOffset>3484498</wp:posOffset>
            </wp:positionH>
            <wp:positionV relativeFrom="paragraph">
              <wp:posOffset>-1481888</wp:posOffset>
            </wp:positionV>
            <wp:extent cx="196980" cy="176212"/>
            <wp:effectExtent l="0" t="0" r="0" b="0"/>
            <wp:wrapNone/>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27" cstate="print"/>
                    <a:stretch>
                      <a:fillRect/>
                    </a:stretch>
                  </pic:blipFill>
                  <pic:spPr>
                    <a:xfrm>
                      <a:off x="0" y="0"/>
                      <a:ext cx="196980" cy="176212"/>
                    </a:xfrm>
                    <a:prstGeom prst="rect">
                      <a:avLst/>
                    </a:prstGeom>
                  </pic:spPr>
                </pic:pic>
              </a:graphicData>
            </a:graphic>
          </wp:anchor>
        </w:drawing>
      </w:r>
      <w:r>
        <w:rPr/>
        <w:pict>
          <v:group style="position:absolute;margin-left:302.200012pt;margin-top:-119.544128pt;width:129.9pt;height:82.85pt;mso-position-horizontal-relative:page;mso-position-vertical-relative:paragraph;z-index:-93544" coordorigin="6044,-2391" coordsize="2598,1657">
            <v:shape style="position:absolute;left:6363;top:-2335;width:372;height:348" type="#_x0000_t75" stroked="false">
              <v:imagedata r:id="rId28" o:title=""/>
            </v:shape>
            <v:shape style="position:absolute;left:6044;top:-2391;width:2598;height:1657" type="#_x0000_t75" stroked="false">
              <v:imagedata r:id="rId29" o:title=""/>
            </v:shape>
            <w10:wrap type="none"/>
          </v:group>
        </w:pict>
      </w:r>
      <w:r>
        <w:rPr/>
        <w:t>71% (87) of facilities responded that they can provide catering if requested.</w:t>
      </w:r>
    </w:p>
    <w:p>
      <w:pPr>
        <w:pStyle w:val="BodyText"/>
        <w:rPr>
          <w:sz w:val="26"/>
        </w:rPr>
      </w:pPr>
    </w:p>
    <w:p>
      <w:pPr>
        <w:pStyle w:val="BodyText"/>
        <w:rPr>
          <w:sz w:val="22"/>
        </w:rPr>
      </w:pPr>
    </w:p>
    <w:p>
      <w:pPr>
        <w:pStyle w:val="Heading3"/>
        <w:rPr>
          <w:u w:val="none"/>
        </w:rPr>
      </w:pPr>
      <w:r>
        <w:rPr>
          <w:u w:val="none"/>
        </w:rPr>
        <w:t>Car Parking &amp; Transport</w:t>
      </w:r>
    </w:p>
    <w:p>
      <w:pPr>
        <w:pStyle w:val="BodyText"/>
        <w:spacing w:line="360" w:lineRule="auto" w:before="138"/>
        <w:ind w:left="110" w:right="95"/>
      </w:pPr>
      <w:r>
        <w:rPr/>
        <w:t>The majority of facilities 31%, (38) had between 11 to 50 car parking spaces available for people using their facility. The full response to this question can be seen in Figure 12.</w:t>
      </w:r>
    </w:p>
    <w:p>
      <w:pPr>
        <w:pStyle w:val="BodyText"/>
        <w:spacing w:before="11"/>
        <w:rPr>
          <w:sz w:val="29"/>
        </w:rPr>
      </w:pPr>
    </w:p>
    <w:p>
      <w:pPr>
        <w:spacing w:before="0"/>
        <w:ind w:left="110" w:right="0" w:firstLine="0"/>
        <w:jc w:val="left"/>
        <w:rPr>
          <w:b/>
          <w:sz w:val="20"/>
        </w:rPr>
      </w:pPr>
      <w:r>
        <w:rPr/>
        <w:pict>
          <v:group style="position:absolute;margin-left:79.574997pt;margin-top:17.064873pt;width:375.75pt;height:196.5pt;mso-position-horizontal-relative:page;mso-position-vertical-relative:paragraph;z-index:1960;mso-wrap-distance-left:0;mso-wrap-distance-right:0" coordorigin="1591,341" coordsize="7515,3930">
            <v:shape style="position:absolute;left:5211;top:1652;width:1060;height:1100" coordorigin="5212,1653" coordsize="1060,1100" path="m5212,1653l5212,2712,6270,2752,6271,2676,6266,2602,6255,2529,6240,2457,6221,2388,6196,2320,6168,2255,6135,2192,6098,2131,6057,2073,6012,2018,5964,1966,5913,1918,5858,1873,5800,1831,5740,1793,5677,1760,5611,1731,5543,1706,5473,1685,5401,1670,5327,1659,5252,1653,5212,1653xe" filled="true" fillcolor="#4f81bc" stroked="false">
              <v:path arrowok="t"/>
              <v:fill type="solid"/>
            </v:shape>
            <v:shape style="position:absolute;left:4760;top:2712;width:1510;height:1060" coordorigin="4760,2712" coordsize="1510,1060" path="m5212,2712l4760,3671,4830,3701,4901,3725,4972,3745,5043,3759,5115,3768,5187,3772,5259,3771,5330,3765,5400,3755,5469,3740,5537,3721,5604,3697,5668,3668,5731,3636,5792,3599,5850,3558,5906,3513,5959,3464,6008,3411,6054,3355,6097,3295,6136,3231,6170,3163,6204,3085,6230,3004,6250,2921,6264,2837,6270,2752,5212,2712xe" filled="true" fillcolor="#c0504d" stroked="false">
              <v:path arrowok="t"/>
              <v:fill type="solid"/>
            </v:shape>
            <v:shape style="position:absolute;left:4151;top:2273;width:1060;height:1398" coordorigin="4152,2273" coordsize="1060,1398" path="m4247,2273l4219,2343,4195,2413,4177,2484,4164,2555,4155,2626,4152,2697,4153,2768,4159,2839,4170,2908,4186,2977,4205,3044,4230,3110,4258,3174,4291,3237,4328,3297,4368,3354,4413,3409,4462,3461,4514,3510,4571,3556,4630,3598,4694,3637,4760,3671,5212,2712,4247,2273xe" filled="true" fillcolor="#9bba58" stroked="false">
              <v:path arrowok="t"/>
              <v:fill type="solid"/>
            </v:shape>
            <v:shape style="position:absolute;left:4247;top:1652;width:965;height:1060" coordorigin="4247,1653" coordsize="965,1060" path="m5212,1653l5134,1655,5058,1664,4983,1677,4910,1696,4839,1720,4769,1749,4703,1783,4638,1821,4577,1864,4519,1911,4464,1962,4412,2017,4365,2076,4321,2138,4282,2204,4247,2273,5212,2712,5212,1653xe" filled="true" fillcolor="#8063a1" stroked="false">
              <v:path arrowok="t"/>
              <v:fill type="solid"/>
            </v:shape>
            <v:rect style="position:absolute;left:3974;top:1117;width:113;height:113" filled="true" fillcolor="#4f81bc" stroked="false">
              <v:fill type="solid"/>
            </v:rect>
            <v:rect style="position:absolute;left:4663;top:1117;width:113;height:113" filled="true" fillcolor="#c0504d" stroked="false">
              <v:fill type="solid"/>
            </v:rect>
            <v:rect style="position:absolute;left:5452;top:1117;width:113;height:113" filled="true" fillcolor="#9bba58" stroked="false">
              <v:fill type="solid"/>
            </v:rect>
            <v:rect style="position:absolute;left:6242;top:1117;width:113;height:113" filled="true" fillcolor="#8063a1" stroked="false">
              <v:fill type="solid"/>
            </v:rect>
            <v:rect style="position:absolute;left:1599;top:348;width:7500;height:3915" filled="false" stroked="true" strokeweight=".75pt" strokecolor="#858585">
              <v:stroke dashstyle="solid"/>
            </v:rect>
            <v:shape style="position:absolute;left:2491;top:556;width:5738;height:724" type="#_x0000_t202" filled="false" stroked="false">
              <v:textbox inset="0,0,0,0">
                <w:txbxContent>
                  <w:p>
                    <w:pPr>
                      <w:spacing w:line="270" w:lineRule="exact" w:before="0"/>
                      <w:ind w:left="0" w:right="0" w:firstLine="0"/>
                      <w:jc w:val="left"/>
                      <w:rPr>
                        <w:b/>
                        <w:sz w:val="28"/>
                      </w:rPr>
                    </w:pPr>
                    <w:r>
                      <w:rPr>
                        <w:b/>
                        <w:w w:val="90"/>
                        <w:sz w:val="28"/>
                      </w:rPr>
                      <w:t>Number</w:t>
                    </w:r>
                    <w:r>
                      <w:rPr>
                        <w:b/>
                        <w:spacing w:val="-31"/>
                        <w:w w:val="90"/>
                        <w:sz w:val="28"/>
                      </w:rPr>
                      <w:t> </w:t>
                    </w:r>
                    <w:r>
                      <w:rPr>
                        <w:b/>
                        <w:w w:val="90"/>
                        <w:sz w:val="28"/>
                      </w:rPr>
                      <w:t>of</w:t>
                    </w:r>
                    <w:r>
                      <w:rPr>
                        <w:b/>
                        <w:spacing w:val="-28"/>
                        <w:w w:val="90"/>
                        <w:sz w:val="28"/>
                      </w:rPr>
                      <w:t> </w:t>
                    </w:r>
                    <w:r>
                      <w:rPr>
                        <w:b/>
                        <w:w w:val="90"/>
                        <w:sz w:val="28"/>
                      </w:rPr>
                      <w:t>parking</w:t>
                    </w:r>
                    <w:r>
                      <w:rPr>
                        <w:b/>
                        <w:spacing w:val="-32"/>
                        <w:w w:val="90"/>
                        <w:sz w:val="28"/>
                      </w:rPr>
                      <w:t> </w:t>
                    </w:r>
                    <w:r>
                      <w:rPr>
                        <w:b/>
                        <w:w w:val="90"/>
                        <w:sz w:val="28"/>
                      </w:rPr>
                      <w:t>spaces</w:t>
                    </w:r>
                    <w:r>
                      <w:rPr>
                        <w:b/>
                        <w:spacing w:val="-29"/>
                        <w:w w:val="90"/>
                        <w:sz w:val="28"/>
                      </w:rPr>
                      <w:t> </w:t>
                    </w:r>
                    <w:r>
                      <w:rPr>
                        <w:b/>
                        <w:w w:val="90"/>
                        <w:sz w:val="28"/>
                      </w:rPr>
                      <w:t>provided</w:t>
                    </w:r>
                    <w:r>
                      <w:rPr>
                        <w:b/>
                        <w:spacing w:val="-32"/>
                        <w:w w:val="90"/>
                        <w:sz w:val="28"/>
                      </w:rPr>
                      <w:t> </w:t>
                    </w:r>
                    <w:r>
                      <w:rPr>
                        <w:b/>
                        <w:w w:val="90"/>
                        <w:sz w:val="28"/>
                      </w:rPr>
                      <w:t>at</w:t>
                    </w:r>
                    <w:r>
                      <w:rPr>
                        <w:b/>
                        <w:spacing w:val="-28"/>
                        <w:w w:val="90"/>
                        <w:sz w:val="28"/>
                      </w:rPr>
                      <w:t> </w:t>
                    </w:r>
                    <w:r>
                      <w:rPr>
                        <w:b/>
                        <w:w w:val="90"/>
                        <w:sz w:val="28"/>
                      </w:rPr>
                      <w:t>the</w:t>
                    </w:r>
                    <w:r>
                      <w:rPr>
                        <w:b/>
                        <w:spacing w:val="-29"/>
                        <w:w w:val="90"/>
                        <w:sz w:val="28"/>
                      </w:rPr>
                      <w:t> </w:t>
                    </w:r>
                    <w:r>
                      <w:rPr>
                        <w:b/>
                        <w:w w:val="90"/>
                        <w:sz w:val="28"/>
                      </w:rPr>
                      <w:t>facility</w:t>
                    </w:r>
                  </w:p>
                  <w:p>
                    <w:pPr>
                      <w:tabs>
                        <w:tab w:pos="2327" w:val="left" w:leader="none"/>
                        <w:tab w:pos="3118" w:val="left" w:leader="none"/>
                        <w:tab w:pos="3908" w:val="left" w:leader="none"/>
                      </w:tabs>
                      <w:spacing w:before="216"/>
                      <w:ind w:left="1639" w:right="0" w:firstLine="0"/>
                      <w:jc w:val="left"/>
                      <w:rPr>
                        <w:sz w:val="20"/>
                      </w:rPr>
                    </w:pPr>
                    <w:r>
                      <w:rPr>
                        <w:sz w:val="20"/>
                      </w:rPr>
                      <w:t>0-10</w:t>
                      <w:tab/>
                      <w:t>11-50</w:t>
                      <w:tab/>
                      <w:t>51-99</w:t>
                      <w:tab/>
                      <w:t>100+</w:t>
                    </w:r>
                  </w:p>
                </w:txbxContent>
              </v:textbox>
              <w10:wrap type="none"/>
            </v:shape>
            <v:shape style="position:absolute;left:4616;top:1980;width:364;height:200" type="#_x0000_t202" filled="false" stroked="false">
              <v:textbox inset="0,0,0,0">
                <w:txbxContent>
                  <w:p>
                    <w:pPr>
                      <w:spacing w:line="192" w:lineRule="exact" w:before="0"/>
                      <w:ind w:left="0" w:right="0" w:firstLine="0"/>
                      <w:jc w:val="left"/>
                      <w:rPr>
                        <w:sz w:val="20"/>
                      </w:rPr>
                    </w:pPr>
                    <w:r>
                      <w:rPr>
                        <w:w w:val="85"/>
                        <w:sz w:val="20"/>
                      </w:rPr>
                      <w:t>18%</w:t>
                    </w:r>
                  </w:p>
                </w:txbxContent>
              </v:textbox>
              <w10:wrap type="none"/>
            </v:shape>
            <v:shape style="position:absolute;left:5606;top:2130;width:364;height:200" type="#_x0000_t202" filled="false" stroked="false">
              <v:textbox inset="0,0,0,0">
                <w:txbxContent>
                  <w:p>
                    <w:pPr>
                      <w:spacing w:line="192" w:lineRule="exact" w:before="0"/>
                      <w:ind w:left="0" w:right="0" w:firstLine="0"/>
                      <w:jc w:val="left"/>
                      <w:rPr>
                        <w:sz w:val="20"/>
                      </w:rPr>
                    </w:pPr>
                    <w:r>
                      <w:rPr>
                        <w:w w:val="85"/>
                        <w:sz w:val="20"/>
                      </w:rPr>
                      <w:t>26%</w:t>
                    </w:r>
                  </w:p>
                </w:txbxContent>
              </v:textbox>
              <w10:wrap type="none"/>
            </v:shape>
            <v:shape style="position:absolute;left:4301;top:2895;width:364;height:200" type="#_x0000_t202" filled="false" stroked="false">
              <v:textbox inset="0,0,0,0">
                <w:txbxContent>
                  <w:p>
                    <w:pPr>
                      <w:spacing w:line="192" w:lineRule="exact" w:before="0"/>
                      <w:ind w:left="0" w:right="0" w:firstLine="0"/>
                      <w:jc w:val="left"/>
                      <w:rPr>
                        <w:sz w:val="20"/>
                      </w:rPr>
                    </w:pPr>
                    <w:r>
                      <w:rPr>
                        <w:w w:val="85"/>
                        <w:sz w:val="20"/>
                      </w:rPr>
                      <w:t>25%</w:t>
                    </w:r>
                  </w:p>
                </w:txbxContent>
              </v:textbox>
              <w10:wrap type="none"/>
            </v:shape>
            <v:shape style="position:absolute;left:5486;top:3256;width:364;height:200" type="#_x0000_t202" filled="false" stroked="false">
              <v:textbox inset="0,0,0,0">
                <w:txbxContent>
                  <w:p>
                    <w:pPr>
                      <w:spacing w:line="192" w:lineRule="exact" w:before="0"/>
                      <w:ind w:left="0" w:right="0" w:firstLine="0"/>
                      <w:jc w:val="left"/>
                      <w:rPr>
                        <w:sz w:val="20"/>
                      </w:rPr>
                    </w:pPr>
                    <w:r>
                      <w:rPr>
                        <w:w w:val="85"/>
                        <w:sz w:val="20"/>
                      </w:rPr>
                      <w:t>31%</w:t>
                    </w:r>
                  </w:p>
                </w:txbxContent>
              </v:textbox>
              <w10:wrap type="none"/>
            </v:shape>
            <w10:wrap type="topAndBottom"/>
          </v:group>
        </w:pict>
      </w:r>
      <w:r>
        <w:rPr>
          <w:b/>
          <w:sz w:val="20"/>
        </w:rPr>
        <w:t>Figure 12: No. of car parking spaces</w:t>
      </w:r>
    </w:p>
    <w:p>
      <w:pPr>
        <w:pStyle w:val="BodyText"/>
        <w:rPr>
          <w:b/>
          <w:sz w:val="22"/>
        </w:rPr>
      </w:pPr>
    </w:p>
    <w:p>
      <w:pPr>
        <w:pStyle w:val="BodyText"/>
        <w:spacing w:before="10"/>
        <w:rPr>
          <w:b/>
          <w:sz w:val="22"/>
        </w:rPr>
      </w:pPr>
    </w:p>
    <w:p>
      <w:pPr>
        <w:pStyle w:val="BodyText"/>
        <w:ind w:left="110"/>
      </w:pPr>
      <w:r>
        <w:rPr/>
        <w:t>58% (69) facilities have bus parking available.</w:t>
      </w:r>
    </w:p>
    <w:p>
      <w:pPr>
        <w:spacing w:after="0"/>
        <w:sectPr>
          <w:pgSz w:w="11910" w:h="17340"/>
          <w:pgMar w:header="759" w:footer="1014" w:top="940" w:bottom="1200" w:left="1460" w:right="1140"/>
        </w:sectPr>
      </w:pPr>
    </w:p>
    <w:p>
      <w:pPr>
        <w:pStyle w:val="BodyText"/>
        <w:spacing w:before="7"/>
        <w:rPr>
          <w:sz w:val="15"/>
        </w:rPr>
      </w:pPr>
    </w:p>
    <w:p>
      <w:pPr>
        <w:pStyle w:val="BodyText"/>
        <w:spacing w:line="720" w:lineRule="auto" w:before="92"/>
        <w:ind w:left="110" w:right="4897"/>
      </w:pPr>
      <w:r>
        <w:rPr/>
        <w:t>28% (34) are serviced by public transport. Only 2 facilities had their own bus.</w:t>
      </w:r>
    </w:p>
    <w:p>
      <w:pPr>
        <w:pStyle w:val="Heading3"/>
        <w:spacing w:before="15"/>
        <w:rPr>
          <w:u w:val="none"/>
        </w:rPr>
      </w:pPr>
      <w:r>
        <w:rPr>
          <w:u w:val="none"/>
        </w:rPr>
        <w:t>Broadband</w:t>
      </w:r>
    </w:p>
    <w:p>
      <w:pPr>
        <w:pStyle w:val="BodyText"/>
        <w:spacing w:line="360" w:lineRule="auto" w:before="137"/>
        <w:ind w:left="110" w:right="574"/>
      </w:pPr>
      <w:r>
        <w:rPr/>
        <w:t>Under half, 41% or 50 facilities, have access to broadband and of these 42 make it available for users to access through Wi-Fi.</w:t>
      </w:r>
    </w:p>
    <w:p>
      <w:pPr>
        <w:pStyle w:val="BodyText"/>
        <w:spacing w:before="3"/>
        <w:rPr>
          <w:sz w:val="28"/>
        </w:rPr>
      </w:pPr>
    </w:p>
    <w:p>
      <w:pPr>
        <w:pStyle w:val="Heading3"/>
        <w:numPr>
          <w:ilvl w:val="1"/>
          <w:numId w:val="7"/>
        </w:numPr>
        <w:tabs>
          <w:tab w:pos="829" w:val="left" w:leader="none"/>
          <w:tab w:pos="830" w:val="left" w:leader="none"/>
          <w:tab w:pos="9349" w:val="left" w:leader="none"/>
        </w:tabs>
        <w:spacing w:line="240" w:lineRule="auto" w:before="93" w:after="0"/>
        <w:ind w:left="830" w:right="0" w:hanging="720"/>
        <w:jc w:val="left"/>
        <w:rPr>
          <w:u w:val="none"/>
        </w:rPr>
      </w:pPr>
      <w:r>
        <w:rPr>
          <w:shd w:fill="C5D9F0" w:color="auto" w:val="clear"/>
          <w:u w:val="none"/>
        </w:rPr>
        <w:t>Ownership</w:t>
      </w:r>
      <w:r>
        <w:rPr>
          <w:shd w:fill="FFFFFF" w:color="auto" w:val="clear"/>
          <w:u w:val="none"/>
        </w:rPr>
        <w:t> </w:t>
      </w:r>
      <w:r>
        <w:rPr>
          <w:shd w:fill="C5D9F0" w:color="auto" w:val="clear"/>
          <w:u w:val="none"/>
        </w:rPr>
        <w:t>/</w:t>
      </w:r>
      <w:r>
        <w:rPr>
          <w:spacing w:val="-8"/>
          <w:shd w:fill="FFFFFF" w:color="auto" w:val="clear"/>
          <w:u w:val="none"/>
        </w:rPr>
        <w:t> </w:t>
      </w:r>
      <w:r>
        <w:rPr>
          <w:shd w:fill="C5D9F0" w:color="auto" w:val="clear"/>
          <w:u w:val="none"/>
        </w:rPr>
        <w:t>Management</w:t>
        <w:tab/>
      </w:r>
    </w:p>
    <w:p>
      <w:pPr>
        <w:pStyle w:val="BodyText"/>
        <w:rPr>
          <w:b/>
          <w:sz w:val="26"/>
        </w:rPr>
      </w:pPr>
    </w:p>
    <w:p>
      <w:pPr>
        <w:pStyle w:val="BodyText"/>
        <w:spacing w:before="10"/>
        <w:rPr>
          <w:b/>
          <w:sz w:val="27"/>
        </w:rPr>
      </w:pPr>
    </w:p>
    <w:p>
      <w:pPr>
        <w:pStyle w:val="BodyText"/>
        <w:spacing w:line="360" w:lineRule="auto"/>
        <w:ind w:left="110" w:right="374"/>
      </w:pPr>
      <w:r>
        <w:rPr/>
        <w:t>This section of the survey looked at the issue of who has ownership of the facilities and who manages them. It also enquired into the operations of the facility and health and safety procedures followed.</w:t>
      </w:r>
    </w:p>
    <w:p>
      <w:pPr>
        <w:pStyle w:val="BodyText"/>
        <w:spacing w:before="3"/>
        <w:rPr>
          <w:sz w:val="36"/>
        </w:rPr>
      </w:pPr>
    </w:p>
    <w:p>
      <w:pPr>
        <w:pStyle w:val="BodyText"/>
        <w:spacing w:line="360" w:lineRule="auto"/>
        <w:ind w:left="110" w:right="389"/>
        <w:jc w:val="both"/>
      </w:pPr>
      <w:r>
        <w:rPr/>
        <w:t>The most common form of ownership of the facilities was in the form of a community organisation (31%), followed by the parish/church (28%). A listing of the ‘other’ types of ownership can be found in Appendix 8.</w:t>
      </w:r>
    </w:p>
    <w:p>
      <w:pPr>
        <w:pStyle w:val="BodyText"/>
        <w:spacing w:before="11"/>
        <w:rPr>
          <w:sz w:val="35"/>
        </w:rPr>
      </w:pPr>
    </w:p>
    <w:p>
      <w:pPr>
        <w:spacing w:before="0"/>
        <w:ind w:left="110" w:right="0" w:firstLine="0"/>
        <w:jc w:val="left"/>
        <w:rPr>
          <w:b/>
          <w:sz w:val="20"/>
        </w:rPr>
      </w:pPr>
      <w:r>
        <w:rPr/>
        <w:pict>
          <v:group style="position:absolute;margin-left:79.574997pt;margin-top:17.074871pt;width:379.5pt;height:184.5pt;mso-position-horizontal-relative:page;mso-position-vertical-relative:paragraph;z-index:2344;mso-wrap-distance-left:0;mso-wrap-distance-right:0" coordorigin="1591,341" coordsize="7590,3690">
            <v:shape style="position:absolute;left:5613;top:2046;width:932;height:1271" coordorigin="5614,2046" coordsize="932,1271" path="m5614,2046l5614,2977,6481,3316,6506,3244,6524,3171,6537,3098,6544,3025,6545,2952,6540,2880,6530,2809,6514,2739,6493,2670,6467,2604,6435,2540,6399,2478,6359,2419,6313,2363,6264,2310,6209,2262,6151,2217,6089,2177,6023,2141,5953,2110,5870,2082,5786,2062,5700,2050,5614,2046xe" filled="true" fillcolor="#4f81bc" stroked="false">
              <v:path arrowok="t"/>
              <v:fill type="solid"/>
            </v:shape>
            <v:shape style="position:absolute;left:5493;top:2977;width:987;height:931" coordorigin="5494,2977" coordsize="987,931" path="m5614,2977l5494,3901,5568,3907,5642,3908,5715,3903,5787,3892,5858,3876,5926,3855,5993,3828,6057,3796,6118,3760,6177,3719,6232,3673,6284,3624,6332,3570,6376,3512,6416,3450,6451,3385,6481,3316,5614,2977xe" filled="true" fillcolor="#c0504d" stroked="false">
              <v:path arrowok="t"/>
              <v:fill type="solid"/>
            </v:shape>
            <v:shape style="position:absolute;left:4682;top:2707;width:932;height:1194" coordorigin="4683,2708" coordsize="932,1194" path="m4722,2708l4703,2782,4690,2856,4683,2930,4683,3003,4687,3076,4698,3147,4714,3217,4735,3286,4761,3353,4793,3417,4829,3478,4870,3537,4915,3593,4964,3645,5018,3694,5076,3738,5137,3778,5203,3813,5272,3844,5344,3869,5418,3888,5494,3901,5614,2977,4722,2708xe" filled="true" fillcolor="#9bba58" stroked="false">
              <v:path arrowok="t"/>
              <v:fill type="solid"/>
            </v:shape>
            <v:shape style="position:absolute;left:4722;top:2340;width:892;height:637" coordorigin="4722,2341" coordsize="892,637" path="m4934,2341l4879,2406,4829,2475,4787,2549,4751,2627,4722,2708,5614,2977,4934,2341xe" filled="true" fillcolor="#8063a1" stroked="false">
              <v:path arrowok="t"/>
              <v:fill type="solid"/>
            </v:shape>
            <v:shape style="position:absolute;left:4934;top:2046;width:680;height:932" coordorigin="4934,2046" coordsize="680,932" path="m5614,2046l5537,2049,5461,2059,5387,2074,5314,2096,5243,2123,5175,2156,5110,2194,5048,2238,4989,2287,4934,2341,5614,2977,5614,2046xe" filled="true" fillcolor="#4aacc5" stroked="false">
              <v:path arrowok="t"/>
              <v:fill type="solid"/>
            </v:shape>
            <v:rect style="position:absolute;left:2083;top:1117;width:111;height:113" filled="true" fillcolor="#4f81bc" stroked="false">
              <v:fill type="solid"/>
            </v:rect>
            <v:rect style="position:absolute;left:4332;top:1117;width:113;height:113" filled="true" fillcolor="#c0504d" stroked="false">
              <v:fill type="solid"/>
            </v:rect>
            <v:rect style="position:absolute;left:6583;top:1117;width:113;height:113" filled="true" fillcolor="#9bba58" stroked="false">
              <v:fill type="solid"/>
            </v:rect>
            <v:rect style="position:absolute;left:2083;top:1479;width:111;height:111" filled="true" fillcolor="#8063a1" stroked="false">
              <v:fill type="solid"/>
            </v:rect>
            <v:rect style="position:absolute;left:4332;top:1479;width:113;height:111" filled="true" fillcolor="#4aacc5" stroked="false">
              <v:fill type="solid"/>
            </v:rect>
            <v:rect style="position:absolute;left:1599;top:348;width:7575;height:3675" filled="false" stroked="true" strokeweight=".75pt" strokecolor="#858585">
              <v:stroke dashstyle="solid"/>
            </v:rect>
            <v:shape style="position:absolute;left:3956;top:556;width:2881;height:281" type="#_x0000_t202" filled="false" stroked="false">
              <v:textbox inset="0,0,0,0">
                <w:txbxContent>
                  <w:p>
                    <w:pPr>
                      <w:spacing w:line="270" w:lineRule="exact" w:before="0"/>
                      <w:ind w:left="0" w:right="0" w:firstLine="0"/>
                      <w:jc w:val="left"/>
                      <w:rPr>
                        <w:b/>
                        <w:sz w:val="28"/>
                      </w:rPr>
                    </w:pPr>
                    <w:r>
                      <w:rPr>
                        <w:b/>
                        <w:w w:val="90"/>
                        <w:sz w:val="28"/>
                      </w:rPr>
                      <w:t>Ownership</w:t>
                    </w:r>
                    <w:r>
                      <w:rPr>
                        <w:b/>
                        <w:spacing w:val="-30"/>
                        <w:w w:val="90"/>
                        <w:sz w:val="28"/>
                      </w:rPr>
                      <w:t> </w:t>
                    </w:r>
                    <w:r>
                      <w:rPr>
                        <w:b/>
                        <w:w w:val="90"/>
                        <w:sz w:val="28"/>
                      </w:rPr>
                      <w:t>of</w:t>
                    </w:r>
                    <w:r>
                      <w:rPr>
                        <w:b/>
                        <w:spacing w:val="-23"/>
                        <w:w w:val="90"/>
                        <w:sz w:val="28"/>
                      </w:rPr>
                      <w:t> </w:t>
                    </w:r>
                    <w:r>
                      <w:rPr>
                        <w:b/>
                        <w:w w:val="90"/>
                        <w:sz w:val="28"/>
                      </w:rPr>
                      <w:t>the</w:t>
                    </w:r>
                    <w:r>
                      <w:rPr>
                        <w:b/>
                        <w:spacing w:val="-24"/>
                        <w:w w:val="90"/>
                        <w:sz w:val="28"/>
                      </w:rPr>
                      <w:t> </w:t>
                    </w:r>
                    <w:r>
                      <w:rPr>
                        <w:b/>
                        <w:w w:val="90"/>
                        <w:sz w:val="28"/>
                      </w:rPr>
                      <w:t>facility</w:t>
                    </w:r>
                  </w:p>
                </w:txbxContent>
              </v:textbox>
              <w10:wrap type="none"/>
            </v:shape>
            <v:shape style="position:absolute;left:2238;top:1080;width:3192;height:200" type="#_x0000_t202" filled="false" stroked="false">
              <v:textbox inset="0,0,0,0">
                <w:txbxContent>
                  <w:p>
                    <w:pPr>
                      <w:tabs>
                        <w:tab w:pos="2251" w:val="left" w:leader="none"/>
                      </w:tabs>
                      <w:spacing w:line="192" w:lineRule="exact" w:before="0"/>
                      <w:ind w:left="0" w:right="0" w:firstLine="0"/>
                      <w:jc w:val="left"/>
                      <w:rPr>
                        <w:sz w:val="20"/>
                      </w:rPr>
                    </w:pPr>
                    <w:r>
                      <w:rPr>
                        <w:w w:val="95"/>
                        <w:sz w:val="20"/>
                      </w:rPr>
                      <w:t>Community</w:t>
                    </w:r>
                    <w:r>
                      <w:rPr>
                        <w:spacing w:val="-26"/>
                        <w:w w:val="95"/>
                        <w:sz w:val="20"/>
                      </w:rPr>
                      <w:t> </w:t>
                    </w:r>
                    <w:r>
                      <w:rPr>
                        <w:w w:val="95"/>
                        <w:sz w:val="20"/>
                      </w:rPr>
                      <w:t>Organisation</w:t>
                      <w:tab/>
                    </w:r>
                    <w:r>
                      <w:rPr>
                        <w:w w:val="90"/>
                        <w:sz w:val="20"/>
                      </w:rPr>
                      <w:t>Sports</w:t>
                    </w:r>
                    <w:r>
                      <w:rPr>
                        <w:spacing w:val="-25"/>
                        <w:w w:val="90"/>
                        <w:sz w:val="20"/>
                      </w:rPr>
                      <w:t> </w:t>
                    </w:r>
                    <w:r>
                      <w:rPr>
                        <w:w w:val="90"/>
                        <w:sz w:val="20"/>
                      </w:rPr>
                      <w:t>Club</w:t>
                    </w:r>
                  </w:p>
                </w:txbxContent>
              </v:textbox>
              <w10:wrap type="none"/>
            </v:shape>
            <v:shape style="position:absolute;left:6740;top:1080;width:1797;height:200" type="#_x0000_t202" filled="false" stroked="false">
              <v:textbox inset="0,0,0,0">
                <w:txbxContent>
                  <w:p>
                    <w:pPr>
                      <w:spacing w:line="192" w:lineRule="exact" w:before="0"/>
                      <w:ind w:left="0" w:right="0" w:firstLine="0"/>
                      <w:jc w:val="left"/>
                      <w:rPr>
                        <w:sz w:val="20"/>
                      </w:rPr>
                    </w:pPr>
                    <w:r>
                      <w:rPr>
                        <w:w w:val="90"/>
                        <w:sz w:val="20"/>
                      </w:rPr>
                      <w:t>Parish/Church Owned</w:t>
                    </w:r>
                  </w:p>
                </w:txbxContent>
              </v:textbox>
              <w10:wrap type="none"/>
            </v:shape>
            <v:shape style="position:absolute;left:2238;top:1441;width:1250;height:200" type="#_x0000_t202" filled="false" stroked="false">
              <v:textbox inset="0,0,0,0">
                <w:txbxContent>
                  <w:p>
                    <w:pPr>
                      <w:spacing w:line="192" w:lineRule="exact" w:before="0"/>
                      <w:ind w:left="0" w:right="0" w:firstLine="0"/>
                      <w:jc w:val="left"/>
                      <w:rPr>
                        <w:sz w:val="20"/>
                      </w:rPr>
                    </w:pPr>
                    <w:r>
                      <w:rPr>
                        <w:w w:val="95"/>
                        <w:sz w:val="20"/>
                      </w:rPr>
                      <w:t>Local</w:t>
                    </w:r>
                    <w:r>
                      <w:rPr>
                        <w:spacing w:val="-32"/>
                        <w:w w:val="95"/>
                        <w:sz w:val="20"/>
                      </w:rPr>
                      <w:t> </w:t>
                    </w:r>
                    <w:r>
                      <w:rPr>
                        <w:w w:val="95"/>
                        <w:sz w:val="20"/>
                      </w:rPr>
                      <w:t>Authority</w:t>
                    </w:r>
                  </w:p>
                </w:txbxContent>
              </v:textbox>
              <w10:wrap type="none"/>
            </v:shape>
            <v:shape style="position:absolute;left:4489;top:1441;width:1788;height:200" type="#_x0000_t202" filled="false" stroked="false">
              <v:textbox inset="0,0,0,0">
                <w:txbxContent>
                  <w:p>
                    <w:pPr>
                      <w:spacing w:line="192" w:lineRule="exact" w:before="0"/>
                      <w:ind w:left="0" w:right="0" w:firstLine="0"/>
                      <w:jc w:val="left"/>
                      <w:rPr>
                        <w:sz w:val="20"/>
                      </w:rPr>
                    </w:pPr>
                    <w:r>
                      <w:rPr>
                        <w:w w:val="90"/>
                        <w:sz w:val="20"/>
                      </w:rPr>
                      <w:t>Other (please specify)</w:t>
                    </w:r>
                  </w:p>
                </w:txbxContent>
              </v:textbox>
              <w10:wrap type="none"/>
            </v:shape>
            <v:shape style="position:absolute;left:4510;top:2295;width:264;height:200" type="#_x0000_t202" filled="false" stroked="false">
              <v:textbox inset="0,0,0,0">
                <w:txbxContent>
                  <w:p>
                    <w:pPr>
                      <w:spacing w:line="192" w:lineRule="exact" w:before="0"/>
                      <w:ind w:left="0" w:right="0" w:firstLine="0"/>
                      <w:jc w:val="left"/>
                      <w:rPr>
                        <w:sz w:val="20"/>
                      </w:rPr>
                    </w:pPr>
                    <w:r>
                      <w:rPr>
                        <w:w w:val="85"/>
                        <w:sz w:val="20"/>
                      </w:rPr>
                      <w:t>7%</w:t>
                    </w:r>
                  </w:p>
                </w:txbxContent>
              </v:textbox>
              <w10:wrap type="none"/>
            </v:shape>
            <v:shape style="position:absolute;left:5186;top:2280;width:364;height:200" type="#_x0000_t202" filled="false" stroked="false">
              <v:textbox inset="0,0,0,0">
                <w:txbxContent>
                  <w:p>
                    <w:pPr>
                      <w:spacing w:line="192" w:lineRule="exact" w:before="0"/>
                      <w:ind w:left="0" w:right="0" w:firstLine="0"/>
                      <w:jc w:val="left"/>
                      <w:rPr>
                        <w:sz w:val="20"/>
                      </w:rPr>
                    </w:pPr>
                    <w:r>
                      <w:rPr>
                        <w:w w:val="85"/>
                        <w:sz w:val="20"/>
                      </w:rPr>
                      <w:t>13%</w:t>
                    </w:r>
                  </w:p>
                </w:txbxContent>
              </v:textbox>
              <w10:wrap type="none"/>
            </v:shape>
            <v:shape style="position:absolute;left:5966;top:2536;width:364;height:200" type="#_x0000_t202" filled="false" stroked="false">
              <v:textbox inset="0,0,0,0">
                <w:txbxContent>
                  <w:p>
                    <w:pPr>
                      <w:spacing w:line="192" w:lineRule="exact" w:before="0"/>
                      <w:ind w:left="0" w:right="0" w:firstLine="0"/>
                      <w:jc w:val="left"/>
                      <w:rPr>
                        <w:sz w:val="20"/>
                      </w:rPr>
                    </w:pPr>
                    <w:r>
                      <w:rPr>
                        <w:w w:val="85"/>
                        <w:sz w:val="20"/>
                      </w:rPr>
                      <w:t>31%</w:t>
                    </w:r>
                  </w:p>
                </w:txbxContent>
              </v:textbox>
              <w10:wrap type="none"/>
            </v:shape>
            <v:shape style="position:absolute;left:4886;top:3240;width:364;height:200" type="#_x0000_t202" filled="false" stroked="false">
              <v:textbox inset="0,0,0,0">
                <w:txbxContent>
                  <w:p>
                    <w:pPr>
                      <w:spacing w:line="192" w:lineRule="exact" w:before="0"/>
                      <w:ind w:left="0" w:right="0" w:firstLine="0"/>
                      <w:jc w:val="left"/>
                      <w:rPr>
                        <w:sz w:val="20"/>
                      </w:rPr>
                    </w:pPr>
                    <w:r>
                      <w:rPr>
                        <w:w w:val="85"/>
                        <w:sz w:val="20"/>
                      </w:rPr>
                      <w:t>28%</w:t>
                    </w:r>
                  </w:p>
                </w:txbxContent>
              </v:textbox>
              <w10:wrap type="none"/>
            </v:shape>
            <v:shape style="position:absolute;left:5771;top:3465;width:364;height:200" type="#_x0000_t202" filled="false" stroked="false">
              <v:textbox inset="0,0,0,0">
                <w:txbxContent>
                  <w:p>
                    <w:pPr>
                      <w:spacing w:line="192" w:lineRule="exact" w:before="0"/>
                      <w:ind w:left="0" w:right="0" w:firstLine="0"/>
                      <w:jc w:val="left"/>
                      <w:rPr>
                        <w:sz w:val="20"/>
                      </w:rPr>
                    </w:pPr>
                    <w:r>
                      <w:rPr>
                        <w:w w:val="85"/>
                        <w:sz w:val="20"/>
                      </w:rPr>
                      <w:t>21%</w:t>
                    </w:r>
                  </w:p>
                </w:txbxContent>
              </v:textbox>
              <w10:wrap type="none"/>
            </v:shape>
            <w10:wrap type="topAndBottom"/>
          </v:group>
        </w:pict>
      </w:r>
      <w:r>
        <w:rPr>
          <w:b/>
          <w:sz w:val="20"/>
        </w:rPr>
        <w:t>Figure 13: Ownership of the facility</w:t>
      </w:r>
    </w:p>
    <w:p>
      <w:pPr>
        <w:pStyle w:val="BodyText"/>
        <w:rPr>
          <w:b/>
          <w:sz w:val="22"/>
        </w:rPr>
      </w:pPr>
    </w:p>
    <w:p>
      <w:pPr>
        <w:pStyle w:val="BodyText"/>
        <w:spacing w:before="9"/>
        <w:rPr>
          <w:b/>
          <w:sz w:val="22"/>
        </w:rPr>
      </w:pPr>
    </w:p>
    <w:p>
      <w:pPr>
        <w:pStyle w:val="BodyText"/>
        <w:spacing w:line="360" w:lineRule="auto"/>
        <w:ind w:left="110" w:right="134"/>
      </w:pPr>
      <w:r>
        <w:rPr/>
        <w:t>Figure 14 displays how facilities are managed. The majority (39%) responded that they are managed by a ‘club or association’, followed by 29% of facilities being managed by a ‘company Ltd. by guarantee’. While many of the facilities may be actually owned by the church/parish as the previous findings suggest only 18% of them stated that in terms of management they were ‘vested in the parish’. This indicates that many of the facilities while being owned by the church/parish are actually run independently by a</w:t>
      </w:r>
    </w:p>
    <w:p>
      <w:pPr>
        <w:spacing w:after="0" w:line="360" w:lineRule="auto"/>
        <w:sectPr>
          <w:footerReference w:type="default" r:id="rId30"/>
          <w:pgSz w:w="11910" w:h="17340"/>
          <w:pgMar w:footer="1014" w:header="759" w:top="940" w:bottom="1200" w:left="1460" w:right="980"/>
        </w:sectPr>
      </w:pPr>
    </w:p>
    <w:p>
      <w:pPr>
        <w:pStyle w:val="BodyText"/>
        <w:spacing w:before="7"/>
        <w:rPr>
          <w:sz w:val="15"/>
        </w:rPr>
      </w:pPr>
    </w:p>
    <w:p>
      <w:pPr>
        <w:pStyle w:val="BodyText"/>
        <w:spacing w:line="360" w:lineRule="auto" w:before="92"/>
        <w:ind w:left="150" w:right="469"/>
      </w:pPr>
      <w:r>
        <w:rPr/>
        <w:t>local community or voluntary committee who may not be necessarily affiliated to the local parish committee or church. The ‘other’ types of management structures described can be seen in Appendix 9.</w:t>
      </w:r>
    </w:p>
    <w:p>
      <w:pPr>
        <w:pStyle w:val="BodyText"/>
        <w:spacing w:before="11"/>
        <w:rPr>
          <w:sz w:val="35"/>
        </w:rPr>
      </w:pPr>
    </w:p>
    <w:p>
      <w:pPr>
        <w:spacing w:before="0"/>
        <w:ind w:left="150" w:right="0" w:firstLine="0"/>
        <w:jc w:val="left"/>
        <w:rPr>
          <w:b/>
          <w:sz w:val="20"/>
        </w:rPr>
      </w:pPr>
      <w:r>
        <w:rPr/>
        <w:pict>
          <v:group style="position:absolute;margin-left:79.574997pt;margin-top:17.064892pt;width:394.5pt;height:201.75pt;mso-position-horizontal-relative:page;mso-position-vertical-relative:paragraph;z-index:2536;mso-wrap-distance-left:0;mso-wrap-distance-right:0" coordorigin="1591,341" coordsize="7890,4035">
            <v:shape style="position:absolute;left:5618;top:1996;width:1062;height:1360" coordorigin="5618,1997" coordsize="1062,1360" path="m5618,1997l5618,3059,6637,3357,6655,3283,6669,3209,6677,3136,6679,3063,6677,2990,6670,2919,6658,2848,6642,2778,6621,2711,6595,2644,6565,2580,6531,2518,6493,2458,6451,2401,6405,2346,6356,2295,6303,2247,6246,2202,6186,2161,6123,2124,6057,2092,5988,2063,5916,2039,5843,2021,5769,2008,5694,1999,5618,1997xe" filled="true" fillcolor="#4f81bc" stroked="false">
              <v:path arrowok="t"/>
              <v:fill type="solid"/>
            </v:shape>
            <v:shape style="position:absolute;left:4635;top:3058;width:2002;height:1062" coordorigin="4635,3059" coordsize="2002,1062" path="m5618,3059l4635,3457,4666,3527,4701,3593,4741,3655,4784,3715,4830,3770,4880,3822,4933,3870,4989,3914,5048,3954,5109,3991,5172,4022,5238,4050,5305,4073,5373,4092,5443,4106,5513,4116,5585,4121,5657,4120,5729,4115,5801,4105,5874,4090,5945,4069,6017,4043,6090,4010,6161,3972,6227,3928,6291,3880,6350,3828,6405,3771,6456,3710,6502,3646,6544,3578,6580,3507,6611,3433,6637,3357,5618,3059xe" filled="true" fillcolor="#c0504d" stroked="false">
              <v:path arrowok="t"/>
              <v:fill type="solid"/>
            </v:shape>
            <v:shape style="position:absolute;left:4557;top:2337;width:1061;height:1120" coordorigin="4558,2338" coordsize="1061,1120" path="m4840,2338l4790,2396,4744,2457,4704,2521,4668,2587,4637,2655,4612,2724,4591,2795,4575,2868,4564,2941,4558,3015,4558,3090,4563,3164,4573,3238,4588,3312,4609,3385,4635,3457,5618,3059,4840,2338xe" filled="true" fillcolor="#9bba58" stroked="false">
              <v:path arrowok="t"/>
              <v:fill type="solid"/>
            </v:shape>
            <v:shape style="position:absolute;left:4839;top:1996;width:779;height:1062" coordorigin="4840,1997" coordsize="779,1062" path="m5618,1997l5538,2000,5459,2009,5381,2024,5304,2044,5230,2071,5158,2102,5088,2139,5021,2181,4957,2229,4896,2281,4840,2338,5618,3059,5618,1997xe" filled="true" fillcolor="#8063a1" stroked="false">
              <v:path arrowok="t"/>
              <v:fill type="solid"/>
            </v:shape>
            <v:rect style="position:absolute;left:3115;top:1115;width:113;height:113" filled="true" fillcolor="#4f81bc" stroked="false">
              <v:fill type="solid"/>
            </v:rect>
            <v:rect style="position:absolute;left:5608;top:1115;width:113;height:113" filled="true" fillcolor="#c0504d" stroked="false">
              <v:fill type="solid"/>
            </v:rect>
            <v:rect style="position:absolute;left:3115;top:1478;width:113;height:111" filled="true" fillcolor="#9bba58" stroked="false">
              <v:fill type="solid"/>
            </v:rect>
            <v:rect style="position:absolute;left:5608;top:1478;width:113;height:111" filled="true" fillcolor="#8063a1" stroked="false">
              <v:fill type="solid"/>
            </v:rect>
            <v:rect style="position:absolute;left:1599;top:348;width:7875;height:4020" filled="false" stroked="true" strokeweight=".75pt" strokecolor="#858585">
              <v:stroke dashstyle="solid"/>
            </v:rect>
            <v:shape style="position:absolute;left:3271;top:554;width:4062;height:724" type="#_x0000_t202" filled="false" stroked="false">
              <v:textbox inset="0,0,0,0">
                <w:txbxContent>
                  <w:p>
                    <w:pPr>
                      <w:spacing w:line="270" w:lineRule="exact" w:before="0"/>
                      <w:ind w:left="911" w:right="0" w:firstLine="0"/>
                      <w:jc w:val="left"/>
                      <w:rPr>
                        <w:b/>
                        <w:sz w:val="28"/>
                      </w:rPr>
                    </w:pPr>
                    <w:r>
                      <w:rPr>
                        <w:b/>
                        <w:w w:val="90"/>
                        <w:sz w:val="28"/>
                      </w:rPr>
                      <w:t>Management Structure</w:t>
                    </w:r>
                  </w:p>
                  <w:p>
                    <w:pPr>
                      <w:tabs>
                        <w:tab w:pos="2493" w:val="left" w:leader="none"/>
                      </w:tabs>
                      <w:spacing w:before="216"/>
                      <w:ind w:left="0" w:right="0" w:firstLine="0"/>
                      <w:jc w:val="left"/>
                      <w:rPr>
                        <w:sz w:val="20"/>
                      </w:rPr>
                    </w:pPr>
                    <w:r>
                      <w:rPr>
                        <w:w w:val="95"/>
                        <w:sz w:val="20"/>
                      </w:rPr>
                      <w:t>Company</w:t>
                    </w:r>
                    <w:r>
                      <w:rPr>
                        <w:spacing w:val="-31"/>
                        <w:w w:val="95"/>
                        <w:sz w:val="20"/>
                      </w:rPr>
                      <w:t> </w:t>
                    </w:r>
                    <w:r>
                      <w:rPr>
                        <w:w w:val="95"/>
                        <w:sz w:val="20"/>
                      </w:rPr>
                      <w:t>Ltd.</w:t>
                    </w:r>
                    <w:r>
                      <w:rPr>
                        <w:spacing w:val="-31"/>
                        <w:w w:val="95"/>
                        <w:sz w:val="20"/>
                      </w:rPr>
                      <w:t> </w:t>
                    </w:r>
                    <w:r>
                      <w:rPr>
                        <w:w w:val="95"/>
                        <w:sz w:val="20"/>
                      </w:rPr>
                      <w:t>By</w:t>
                    </w:r>
                    <w:r>
                      <w:rPr>
                        <w:spacing w:val="-31"/>
                        <w:w w:val="95"/>
                        <w:sz w:val="20"/>
                      </w:rPr>
                      <w:t> </w:t>
                    </w:r>
                    <w:r>
                      <w:rPr>
                        <w:w w:val="95"/>
                        <w:sz w:val="20"/>
                      </w:rPr>
                      <w:t>Guarantee</w:t>
                      <w:tab/>
                    </w:r>
                    <w:r>
                      <w:rPr>
                        <w:w w:val="90"/>
                        <w:sz w:val="20"/>
                      </w:rPr>
                      <w:t>Club or</w:t>
                    </w:r>
                    <w:r>
                      <w:rPr>
                        <w:spacing w:val="-10"/>
                        <w:w w:val="90"/>
                        <w:sz w:val="20"/>
                      </w:rPr>
                      <w:t> </w:t>
                    </w:r>
                    <w:r>
                      <w:rPr>
                        <w:w w:val="90"/>
                        <w:sz w:val="20"/>
                      </w:rPr>
                      <w:t>Association</w:t>
                    </w:r>
                  </w:p>
                </w:txbxContent>
              </v:textbox>
              <w10:wrap type="none"/>
            </v:shape>
            <v:shape style="position:absolute;left:3271;top:1440;width:1729;height:200" type="#_x0000_t202" filled="false" stroked="false">
              <v:textbox inset="0,0,0,0">
                <w:txbxContent>
                  <w:p>
                    <w:pPr>
                      <w:spacing w:line="192" w:lineRule="exact" w:before="0"/>
                      <w:ind w:left="0" w:right="0" w:firstLine="0"/>
                      <w:jc w:val="left"/>
                      <w:rPr>
                        <w:sz w:val="20"/>
                      </w:rPr>
                    </w:pPr>
                    <w:r>
                      <w:rPr>
                        <w:w w:val="90"/>
                        <w:sz w:val="20"/>
                      </w:rPr>
                      <w:t>Club</w:t>
                    </w:r>
                    <w:r>
                      <w:rPr>
                        <w:spacing w:val="-16"/>
                        <w:w w:val="90"/>
                        <w:sz w:val="20"/>
                      </w:rPr>
                      <w:t> </w:t>
                    </w:r>
                    <w:r>
                      <w:rPr>
                        <w:w w:val="90"/>
                        <w:sz w:val="20"/>
                      </w:rPr>
                      <w:t>Vested</w:t>
                    </w:r>
                    <w:r>
                      <w:rPr>
                        <w:spacing w:val="-12"/>
                        <w:w w:val="90"/>
                        <w:sz w:val="20"/>
                      </w:rPr>
                      <w:t> </w:t>
                    </w:r>
                    <w:r>
                      <w:rPr>
                        <w:w w:val="90"/>
                        <w:sz w:val="20"/>
                      </w:rPr>
                      <w:t>In</w:t>
                    </w:r>
                    <w:r>
                      <w:rPr>
                        <w:spacing w:val="-14"/>
                        <w:w w:val="90"/>
                        <w:sz w:val="20"/>
                      </w:rPr>
                      <w:t> </w:t>
                    </w:r>
                    <w:r>
                      <w:rPr>
                        <w:w w:val="90"/>
                        <w:sz w:val="20"/>
                      </w:rPr>
                      <w:t>Parish</w:t>
                    </w:r>
                  </w:p>
                </w:txbxContent>
              </v:textbox>
              <w10:wrap type="none"/>
            </v:shape>
            <v:shape style="position:absolute;left:5764;top:1440;width:1788;height:200" type="#_x0000_t202" filled="false" stroked="false">
              <v:textbox inset="0,0,0,0">
                <w:txbxContent>
                  <w:p>
                    <w:pPr>
                      <w:spacing w:line="192" w:lineRule="exact" w:before="0"/>
                      <w:ind w:left="0" w:right="0" w:firstLine="0"/>
                      <w:jc w:val="left"/>
                      <w:rPr>
                        <w:sz w:val="20"/>
                      </w:rPr>
                    </w:pPr>
                    <w:r>
                      <w:rPr>
                        <w:w w:val="90"/>
                        <w:sz w:val="20"/>
                      </w:rPr>
                      <w:t>Other (please specify)</w:t>
                    </w:r>
                  </w:p>
                </w:txbxContent>
              </v:textbox>
              <w10:wrap type="none"/>
            </v:shape>
            <v:shape style="position:absolute;left:5139;top:2249;width:364;height:200" type="#_x0000_t202" filled="false" stroked="false">
              <v:textbox inset="0,0,0,0">
                <w:txbxContent>
                  <w:p>
                    <w:pPr>
                      <w:spacing w:line="192" w:lineRule="exact" w:before="0"/>
                      <w:ind w:left="0" w:right="0" w:firstLine="0"/>
                      <w:jc w:val="left"/>
                      <w:rPr>
                        <w:sz w:val="20"/>
                      </w:rPr>
                    </w:pPr>
                    <w:r>
                      <w:rPr>
                        <w:w w:val="85"/>
                        <w:sz w:val="20"/>
                      </w:rPr>
                      <w:t>13%</w:t>
                    </w:r>
                  </w:p>
                </w:txbxContent>
              </v:textbox>
              <w10:wrap type="none"/>
            </v:shape>
            <v:shape style="position:absolute;left:6055;top:2519;width:364;height:200" type="#_x0000_t202" filled="false" stroked="false">
              <v:textbox inset="0,0,0,0">
                <w:txbxContent>
                  <w:p>
                    <w:pPr>
                      <w:spacing w:line="192" w:lineRule="exact" w:before="0"/>
                      <w:ind w:left="0" w:right="0" w:firstLine="0"/>
                      <w:jc w:val="left"/>
                      <w:rPr>
                        <w:sz w:val="20"/>
                      </w:rPr>
                    </w:pPr>
                    <w:r>
                      <w:rPr>
                        <w:w w:val="85"/>
                        <w:sz w:val="20"/>
                      </w:rPr>
                      <w:t>30%</w:t>
                    </w:r>
                  </w:p>
                </w:txbxContent>
              </v:textbox>
              <w10:wrap type="none"/>
            </v:shape>
            <v:shape style="position:absolute;left:4659;top:2864;width:364;height:200" type="#_x0000_t202" filled="false" stroked="false">
              <v:textbox inset="0,0,0,0">
                <w:txbxContent>
                  <w:p>
                    <w:pPr>
                      <w:spacing w:line="192" w:lineRule="exact" w:before="0"/>
                      <w:ind w:left="0" w:right="0" w:firstLine="0"/>
                      <w:jc w:val="left"/>
                      <w:rPr>
                        <w:sz w:val="20"/>
                      </w:rPr>
                    </w:pPr>
                    <w:r>
                      <w:rPr>
                        <w:w w:val="85"/>
                        <w:sz w:val="20"/>
                      </w:rPr>
                      <w:t>18%</w:t>
                    </w:r>
                  </w:p>
                </w:txbxContent>
              </v:textbox>
              <w10:wrap type="none"/>
            </v:shape>
            <v:shape style="position:absolute;left:5499;top:3794;width:364;height:200" type="#_x0000_t202" filled="false" stroked="false">
              <v:textbox inset="0,0,0,0">
                <w:txbxContent>
                  <w:p>
                    <w:pPr>
                      <w:spacing w:line="192" w:lineRule="exact" w:before="0"/>
                      <w:ind w:left="0" w:right="0" w:firstLine="0"/>
                      <w:jc w:val="left"/>
                      <w:rPr>
                        <w:sz w:val="20"/>
                      </w:rPr>
                    </w:pPr>
                    <w:r>
                      <w:rPr>
                        <w:w w:val="85"/>
                        <w:sz w:val="20"/>
                      </w:rPr>
                      <w:t>39%</w:t>
                    </w:r>
                  </w:p>
                </w:txbxContent>
              </v:textbox>
              <w10:wrap type="none"/>
            </v:shape>
            <w10:wrap type="topAndBottom"/>
          </v:group>
        </w:pict>
      </w:r>
      <w:r>
        <w:rPr>
          <w:b/>
          <w:sz w:val="20"/>
        </w:rPr>
        <w:t>Figure 14: Management Structure</w:t>
      </w:r>
    </w:p>
    <w:p>
      <w:pPr>
        <w:pStyle w:val="BodyText"/>
        <w:rPr>
          <w:b/>
          <w:sz w:val="22"/>
        </w:rPr>
      </w:pPr>
    </w:p>
    <w:p>
      <w:pPr>
        <w:pStyle w:val="BodyText"/>
        <w:spacing w:before="8"/>
        <w:rPr>
          <w:b/>
          <w:sz w:val="22"/>
        </w:rPr>
      </w:pPr>
    </w:p>
    <w:p>
      <w:pPr>
        <w:pStyle w:val="Heading3"/>
        <w:ind w:left="150"/>
        <w:rPr>
          <w:u w:val="none"/>
        </w:rPr>
      </w:pPr>
      <w:r>
        <w:rPr>
          <w:u w:val="none"/>
        </w:rPr>
        <w:t>Staffing Levels</w:t>
      </w:r>
    </w:p>
    <w:p>
      <w:pPr>
        <w:pStyle w:val="BodyText"/>
        <w:spacing w:line="360" w:lineRule="auto" w:before="139"/>
        <w:ind w:left="150" w:right="162"/>
      </w:pPr>
      <w:r>
        <w:rPr/>
        <w:t>The majority of facilities (41%) have voluntary staff, with only 11% having full-time paid staff members.</w:t>
      </w:r>
    </w:p>
    <w:p>
      <w:pPr>
        <w:pStyle w:val="BodyText"/>
        <w:rPr>
          <w:sz w:val="36"/>
        </w:rPr>
      </w:pPr>
    </w:p>
    <w:p>
      <w:pPr>
        <w:spacing w:before="0"/>
        <w:ind w:left="150" w:right="0" w:firstLine="0"/>
        <w:jc w:val="left"/>
        <w:rPr>
          <w:b/>
          <w:sz w:val="20"/>
        </w:rPr>
      </w:pPr>
      <w:r>
        <w:rPr/>
        <w:pict>
          <v:group style="position:absolute;margin-left:79.574997pt;margin-top:17.094877pt;width:387.75pt;height:211.5pt;mso-position-horizontal-relative:page;mso-position-vertical-relative:paragraph;z-index:2656;mso-wrap-distance-left:0;mso-wrap-distance-right:0" coordorigin="1591,342" coordsize="7755,4230">
            <v:shape style="position:absolute;left:5100;top:2386;width:654;height:1025" coordorigin="5100,2387" coordsize="654,1025" path="m5100,2387l5100,3412,5754,2622,5691,2574,5624,2531,5555,2494,5484,2462,5410,2435,5335,2414,5258,2399,5179,2390,5100,2387xe" filled="true" fillcolor="#4f81bc" stroked="false">
              <v:path arrowok="t"/>
              <v:fill type="solid"/>
            </v:shape>
            <v:shape style="position:absolute;left:5100;top:2622;width:1025;height:898" coordorigin="5100,2622" coordsize="1025,898" path="m5754,2622l5100,3412,6119,3520,6124,3441,6124,3363,6117,3286,6105,3209,6087,3134,6063,3061,6034,2990,6000,2921,5960,2855,5916,2791,5867,2731,5812,2675,5754,2622xe" filled="true" fillcolor="#c0504d" stroked="false">
              <v:path arrowok="t"/>
              <v:fill type="solid"/>
            </v:shape>
            <v:shape style="position:absolute;left:4186;top:3411;width:1933;height:1025" coordorigin="4186,3412" coordsize="1933,1025" path="m5100,3412l4186,3876,4224,3943,4265,4006,4310,4065,4359,4120,4412,4171,4467,4218,4526,4261,4587,4299,4650,4333,4715,4362,4782,4386,4851,4406,4921,4421,4992,4431,5064,4436,5136,4436,5209,4431,5281,4421,5353,4405,5424,4384,5495,4358,5564,4325,5634,4287,5700,4243,5762,4195,5819,4142,5873,4085,5921,4025,5965,3961,6004,3894,6038,3824,6067,3751,6090,3676,6108,3599,6119,3520,5100,3412xe" filled="true" fillcolor="#9bba58" stroked="false">
              <v:path arrowok="t"/>
              <v:fill type="solid"/>
            </v:shape>
            <v:shape style="position:absolute;left:4075;top:2386;width:1025;height:1490" coordorigin="4075,2387" coordsize="1025,1490" path="m5100,2387l5024,2390,4949,2398,4875,2412,4804,2430,4735,2454,4668,2482,4604,2515,4542,2552,4483,2593,4428,2638,4375,2687,4327,2739,4281,2795,4240,2854,4203,2915,4170,2980,4142,3047,4119,3116,4100,3187,4086,3260,4078,3335,4075,3412,4078,3492,4088,3572,4103,3651,4125,3728,4153,3803,4186,3876,5100,3412,5100,2387xe" filled="true" fillcolor="#8063a1" stroked="false">
              <v:path arrowok="t"/>
              <v:fill type="solid"/>
            </v:shape>
            <v:rect style="position:absolute;left:3828;top:1093;width:111;height:113" filled="true" fillcolor="#4f81bc" stroked="false">
              <v:fill type="solid"/>
            </v:rect>
            <v:rect style="position:absolute;left:3828;top:1438;width:111;height:113" filled="true" fillcolor="#c0504d" stroked="false">
              <v:fill type="solid"/>
            </v:rect>
            <v:rect style="position:absolute;left:3828;top:1784;width:111;height:113" filled="true" fillcolor="#9bba58" stroked="false">
              <v:fill type="solid"/>
            </v:rect>
            <v:rect style="position:absolute;left:3828;top:2130;width:111;height:113" filled="true" fillcolor="#8063a1" stroked="false">
              <v:fill type="solid"/>
            </v:rect>
            <v:rect style="position:absolute;left:1599;top:349;width:7740;height:4215" filled="false" stroked="true" strokeweight=".75pt" strokecolor="#858585">
              <v:stroke dashstyle="solid"/>
            </v:rect>
            <v:shape style="position:absolute;left:3983;top:556;width:3591;height:2255" type="#_x0000_t202" filled="false" stroked="false">
              <v:textbox inset="0,0,0,0">
                <w:txbxContent>
                  <w:p>
                    <w:pPr>
                      <w:spacing w:line="270" w:lineRule="exact" w:before="0"/>
                      <w:ind w:left="181" w:right="0" w:firstLine="0"/>
                      <w:jc w:val="left"/>
                      <w:rPr>
                        <w:b/>
                        <w:sz w:val="28"/>
                      </w:rPr>
                    </w:pPr>
                    <w:r>
                      <w:rPr>
                        <w:b/>
                        <w:w w:val="85"/>
                        <w:sz w:val="28"/>
                      </w:rPr>
                      <w:t>Staffing Arrangements</w:t>
                    </w:r>
                  </w:p>
                  <w:p>
                    <w:pPr>
                      <w:spacing w:line="360" w:lineRule="auto" w:before="192"/>
                      <w:ind w:left="0" w:right="2370" w:firstLine="0"/>
                      <w:jc w:val="both"/>
                      <w:rPr>
                        <w:sz w:val="20"/>
                      </w:rPr>
                    </w:pPr>
                    <w:r>
                      <w:rPr>
                        <w:w w:val="95"/>
                        <w:sz w:val="20"/>
                      </w:rPr>
                      <w:t>Full-Time</w:t>
                    </w:r>
                    <w:r>
                      <w:rPr>
                        <w:spacing w:val="-36"/>
                        <w:w w:val="95"/>
                        <w:sz w:val="20"/>
                      </w:rPr>
                      <w:t> </w:t>
                    </w:r>
                    <w:r>
                      <w:rPr>
                        <w:w w:val="95"/>
                        <w:sz w:val="20"/>
                      </w:rPr>
                      <w:t>Staff </w:t>
                    </w:r>
                    <w:r>
                      <w:rPr>
                        <w:spacing w:val="-1"/>
                        <w:w w:val="90"/>
                        <w:sz w:val="20"/>
                      </w:rPr>
                      <w:t>Part-Time </w:t>
                    </w:r>
                    <w:r>
                      <w:rPr>
                        <w:w w:val="90"/>
                        <w:sz w:val="20"/>
                      </w:rPr>
                      <w:t>Staff Voluntary</w:t>
                    </w:r>
                    <w:r>
                      <w:rPr>
                        <w:spacing w:val="25"/>
                        <w:w w:val="90"/>
                        <w:sz w:val="20"/>
                      </w:rPr>
                      <w:t> </w:t>
                    </w:r>
                    <w:r>
                      <w:rPr>
                        <w:w w:val="90"/>
                        <w:sz w:val="20"/>
                      </w:rPr>
                      <w:t>Staff</w:t>
                    </w:r>
                  </w:p>
                  <w:p>
                    <w:pPr>
                      <w:spacing w:before="4"/>
                      <w:ind w:left="0" w:right="0" w:firstLine="0"/>
                      <w:jc w:val="both"/>
                      <w:rPr>
                        <w:sz w:val="20"/>
                      </w:rPr>
                    </w:pPr>
                    <w:r>
                      <w:rPr>
                        <w:w w:val="90"/>
                        <w:sz w:val="20"/>
                      </w:rPr>
                      <w:t>Work</w:t>
                    </w:r>
                    <w:r>
                      <w:rPr>
                        <w:spacing w:val="-23"/>
                        <w:w w:val="90"/>
                        <w:sz w:val="20"/>
                      </w:rPr>
                      <w:t> </w:t>
                    </w:r>
                    <w:r>
                      <w:rPr>
                        <w:w w:val="90"/>
                        <w:sz w:val="20"/>
                      </w:rPr>
                      <w:t>Experience</w:t>
                    </w:r>
                    <w:r>
                      <w:rPr>
                        <w:spacing w:val="-21"/>
                        <w:w w:val="90"/>
                        <w:sz w:val="20"/>
                      </w:rPr>
                      <w:t> </w:t>
                    </w:r>
                    <w:r>
                      <w:rPr>
                        <w:w w:val="90"/>
                        <w:sz w:val="20"/>
                      </w:rPr>
                      <w:t>Scheme</w:t>
                    </w:r>
                    <w:r>
                      <w:rPr>
                        <w:spacing w:val="-21"/>
                        <w:w w:val="90"/>
                        <w:sz w:val="20"/>
                      </w:rPr>
                      <w:t> </w:t>
                    </w:r>
                    <w:r>
                      <w:rPr>
                        <w:w w:val="90"/>
                        <w:sz w:val="20"/>
                      </w:rPr>
                      <w:t>Staff</w:t>
                    </w:r>
                    <w:r>
                      <w:rPr>
                        <w:spacing w:val="-21"/>
                        <w:w w:val="90"/>
                        <w:sz w:val="20"/>
                      </w:rPr>
                      <w:t> </w:t>
                    </w:r>
                    <w:r>
                      <w:rPr>
                        <w:w w:val="90"/>
                        <w:sz w:val="20"/>
                      </w:rPr>
                      <w:t>(e.g.</w:t>
                    </w:r>
                    <w:r>
                      <w:rPr>
                        <w:spacing w:val="-20"/>
                        <w:w w:val="90"/>
                        <w:sz w:val="20"/>
                      </w:rPr>
                      <w:t> </w:t>
                    </w:r>
                    <w:r>
                      <w:rPr>
                        <w:w w:val="90"/>
                        <w:sz w:val="20"/>
                      </w:rPr>
                      <w:t>Tus,</w:t>
                    </w:r>
                    <w:r>
                      <w:rPr>
                        <w:spacing w:val="-20"/>
                        <w:w w:val="90"/>
                        <w:sz w:val="20"/>
                      </w:rPr>
                      <w:t> </w:t>
                    </w:r>
                    <w:r>
                      <w:rPr>
                        <w:w w:val="90"/>
                        <w:sz w:val="20"/>
                      </w:rPr>
                      <w:t>CE)</w:t>
                    </w:r>
                  </w:p>
                  <w:p>
                    <w:pPr>
                      <w:spacing w:line="240" w:lineRule="auto" w:before="0"/>
                      <w:rPr>
                        <w:b/>
                        <w:sz w:val="25"/>
                      </w:rPr>
                    </w:pPr>
                  </w:p>
                  <w:p>
                    <w:pPr>
                      <w:spacing w:before="0"/>
                      <w:ind w:left="1172" w:right="0" w:firstLine="0"/>
                      <w:jc w:val="left"/>
                      <w:rPr>
                        <w:sz w:val="20"/>
                      </w:rPr>
                    </w:pPr>
                    <w:r>
                      <w:rPr>
                        <w:w w:val="95"/>
                        <w:sz w:val="20"/>
                      </w:rPr>
                      <w:t>11%</w:t>
                    </w:r>
                  </w:p>
                </w:txbxContent>
              </v:textbox>
              <w10:wrap type="none"/>
            </v:shape>
            <v:shape style="position:absolute;left:4300;top:2941;width:364;height:200" type="#_x0000_t202" filled="false" stroked="false">
              <v:textbox inset="0,0,0,0">
                <w:txbxContent>
                  <w:p>
                    <w:pPr>
                      <w:spacing w:line="192" w:lineRule="exact" w:before="0"/>
                      <w:ind w:left="0" w:right="0" w:firstLine="0"/>
                      <w:jc w:val="left"/>
                      <w:rPr>
                        <w:sz w:val="20"/>
                      </w:rPr>
                    </w:pPr>
                    <w:r>
                      <w:rPr>
                        <w:w w:val="85"/>
                        <w:sz w:val="20"/>
                      </w:rPr>
                      <w:t>32%</w:t>
                    </w:r>
                  </w:p>
                </w:txbxContent>
              </v:textbox>
              <w10:wrap type="none"/>
            </v:shape>
            <v:shape style="position:absolute;left:5620;top:3091;width:364;height:200" type="#_x0000_t202" filled="false" stroked="false">
              <v:textbox inset="0,0,0,0">
                <w:txbxContent>
                  <w:p>
                    <w:pPr>
                      <w:spacing w:line="192" w:lineRule="exact" w:before="0"/>
                      <w:ind w:left="0" w:right="0" w:firstLine="0"/>
                      <w:jc w:val="left"/>
                      <w:rPr>
                        <w:sz w:val="20"/>
                      </w:rPr>
                    </w:pPr>
                    <w:r>
                      <w:rPr>
                        <w:w w:val="85"/>
                        <w:sz w:val="20"/>
                      </w:rPr>
                      <w:t>16%</w:t>
                    </w:r>
                  </w:p>
                </w:txbxContent>
              </v:textbox>
              <w10:wrap type="none"/>
            </v:shape>
            <v:shape style="position:absolute;left:5125;top:4036;width:364;height:200" type="#_x0000_t202" filled="false" stroked="false">
              <v:textbox inset="0,0,0,0">
                <w:txbxContent>
                  <w:p>
                    <w:pPr>
                      <w:spacing w:line="192" w:lineRule="exact" w:before="0"/>
                      <w:ind w:left="0" w:right="0" w:firstLine="0"/>
                      <w:jc w:val="left"/>
                      <w:rPr>
                        <w:sz w:val="20"/>
                      </w:rPr>
                    </w:pPr>
                    <w:r>
                      <w:rPr>
                        <w:w w:val="85"/>
                        <w:sz w:val="20"/>
                      </w:rPr>
                      <w:t>41%</w:t>
                    </w:r>
                  </w:p>
                </w:txbxContent>
              </v:textbox>
              <w10:wrap type="none"/>
            </v:shape>
            <w10:wrap type="topAndBottom"/>
          </v:group>
        </w:pict>
      </w:r>
      <w:r>
        <w:rPr>
          <w:b/>
          <w:sz w:val="20"/>
        </w:rPr>
        <w:t>Figure 15: Staffing Arrangments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9"/>
        </w:rPr>
      </w:pPr>
      <w:r>
        <w:rPr/>
        <w:pict>
          <v:line style="position:absolute;mso-position-horizontal-relative:page;mso-position-vertical-relative:paragraph;z-index:2680;mso-wrap-distance-left:0;mso-wrap-distance-right:0" from="77.064003pt,19.75086pt" to="540.484003pt,19.75086pt" stroked="true" strokeweight="1.44pt" strokecolor="#000000">
            <v:stroke dashstyle="solid"/>
            <w10:wrap type="topAndBottom"/>
          </v:line>
        </w:pict>
      </w:r>
    </w:p>
    <w:p>
      <w:pPr>
        <w:spacing w:after="0"/>
        <w:rPr>
          <w:sz w:val="29"/>
        </w:rPr>
        <w:sectPr>
          <w:footerReference w:type="default" r:id="rId31"/>
          <w:pgSz w:w="11910" w:h="17340"/>
          <w:pgMar w:footer="1014" w:header="759" w:top="940" w:bottom="1200" w:left="1420" w:right="980"/>
          <w:pgNumType w:start="21"/>
        </w:sectPr>
      </w:pPr>
    </w:p>
    <w:p>
      <w:pPr>
        <w:pStyle w:val="BodyText"/>
        <w:spacing w:before="7"/>
        <w:rPr>
          <w:b/>
          <w:sz w:val="15"/>
        </w:rPr>
      </w:pPr>
    </w:p>
    <w:p>
      <w:pPr>
        <w:pStyle w:val="Heading3"/>
        <w:spacing w:before="92"/>
        <w:ind w:left="150"/>
        <w:rPr>
          <w:u w:val="none"/>
        </w:rPr>
      </w:pPr>
      <w:r>
        <w:rPr>
          <w:u w:val="none"/>
        </w:rPr>
        <w:t>Opening Times</w:t>
      </w:r>
    </w:p>
    <w:p>
      <w:pPr>
        <w:pStyle w:val="BodyText"/>
        <w:spacing w:line="360" w:lineRule="auto" w:before="136"/>
        <w:ind w:left="150" w:right="261"/>
      </w:pPr>
      <w:r>
        <w:rPr/>
        <w:t>The majority of facilities indicated that they are open to the public 30+ hours per week (53%).</w:t>
      </w:r>
    </w:p>
    <w:p>
      <w:pPr>
        <w:pStyle w:val="BodyText"/>
        <w:spacing w:before="2"/>
        <w:rPr>
          <w:sz w:val="30"/>
        </w:rPr>
      </w:pPr>
    </w:p>
    <w:p>
      <w:pPr>
        <w:spacing w:before="0"/>
        <w:ind w:left="150" w:right="0" w:firstLine="0"/>
        <w:jc w:val="left"/>
        <w:rPr>
          <w:b/>
          <w:sz w:val="20"/>
        </w:rPr>
      </w:pPr>
      <w:r>
        <w:rPr/>
        <w:pict>
          <v:group style="position:absolute;margin-left:76.338997pt;margin-top:17.414879pt;width:464.9pt;height:181.1pt;mso-position-horizontal-relative:page;mso-position-vertical-relative:paragraph;z-index:2824;mso-wrap-distance-left:0;mso-wrap-distance-right:0" coordorigin="1527,348" coordsize="9298,3622">
            <v:line style="position:absolute" from="1541,363" to="10810,363" stroked="true" strokeweight="1.44pt" strokecolor="#000000">
              <v:stroke dashstyle="solid"/>
            </v:line>
            <v:shape style="position:absolute;left:5316;top:1723;width:976;height:1060" coordorigin="5316,1723" coordsize="976,1060" path="m5316,1723l5316,2783,6292,2368,6258,2296,6220,2228,6177,2163,6129,2102,6077,2045,6022,1992,5963,1943,5901,1899,5836,1859,5768,1824,5697,1794,5624,1769,5550,1749,5473,1735,5395,1726,5316,1723xe" filled="true" fillcolor="#4f81bc" stroked="false">
              <v:path arrowok="t"/>
              <v:fill type="solid"/>
            </v:shape>
            <v:shape style="position:absolute;left:5316;top:2367;width:1061;height:1060" coordorigin="5316,2368" coordsize="1061,1060" path="m6292,2368l5316,2783,6158,3427,6202,3365,6241,3301,6276,3235,6305,3166,6329,3096,6349,3025,6363,2952,6372,2879,6377,2805,6376,2731,6369,2657,6358,2584,6341,2511,6319,2439,6292,2368xe" filled="true" fillcolor="#c0504d" stroked="false">
              <v:path arrowok="t"/>
              <v:fill type="solid"/>
            </v:shape>
            <v:shape style="position:absolute;left:5316;top:2782;width:842;height:1040" coordorigin="5316,2783" coordsize="842,1040" path="m5316,2783l5521,3822,5596,3805,5669,3782,5741,3754,5809,3721,5876,3683,5939,3641,5999,3594,6056,3542,6109,3487,6158,3427,5316,2783xe" filled="true" fillcolor="#9bba58" stroked="false">
              <v:path arrowok="t"/>
              <v:fill type="solid"/>
            </v:shape>
            <v:shape style="position:absolute;left:4255;top:1723;width:1266;height:2120" coordorigin="4255,1723" coordsize="1266,2120" path="m5316,1723l5240,1726,5166,1734,5093,1747,5022,1764,4953,1787,4887,1814,4822,1845,4760,1880,4701,1919,4645,1962,4591,2009,4541,2059,4495,2112,4452,2169,4412,2228,4377,2290,4346,2354,4319,2421,4296,2489,4279,2560,4266,2633,4258,2707,4255,2783,4258,2858,4266,2933,4279,3005,4296,3076,4319,3145,4346,3212,4377,3276,4412,3338,4452,3397,4495,3453,4541,3507,4591,3557,4645,3603,4701,3646,4760,3686,4822,3721,4887,3752,4953,3779,5022,3801,5093,3819,5166,3832,5240,3840,5316,3842,5368,3841,5419,3837,5470,3831,5521,3822,5316,2783,5316,1723xe" filled="true" fillcolor="#8063a1" stroked="false">
              <v:path arrowok="t"/>
              <v:fill type="solid"/>
            </v:shape>
            <v:rect style="position:absolute;left:3744;top:1485;width:113;height:113" filled="true" fillcolor="#4f81bc" stroked="false">
              <v:fill type="solid"/>
            </v:rect>
            <v:rect style="position:absolute;left:4531;top:1485;width:111;height:113" filled="true" fillcolor="#c0504d" stroked="false">
              <v:fill type="solid"/>
            </v:rect>
            <v:rect style="position:absolute;left:5416;top:1485;width:113;height:113" filled="true" fillcolor="#9bba58" stroked="false">
              <v:fill type="solid"/>
            </v:rect>
            <v:rect style="position:absolute;left:6304;top:1485;width:113;height:113" filled="true" fillcolor="#8063a1" stroked="false">
              <v:fill type="solid"/>
            </v:rect>
            <v:rect style="position:absolute;left:1599;top:376;width:7230;height:3585" filled="false" stroked="true" strokeweight=".75pt" strokecolor="#858585">
              <v:stroke dashstyle="solid"/>
            </v:rect>
            <v:shape style="position:absolute;left:3060;top:583;width:4326;height:1065" type="#_x0000_t202" filled="false" stroked="false">
              <v:textbox inset="0,0,0,0">
                <w:txbxContent>
                  <w:p>
                    <w:pPr>
                      <w:spacing w:line="270" w:lineRule="exact" w:before="0"/>
                      <w:ind w:left="-1" w:right="18" w:firstLine="0"/>
                      <w:jc w:val="center"/>
                      <w:rPr>
                        <w:b/>
                        <w:sz w:val="28"/>
                      </w:rPr>
                    </w:pPr>
                    <w:r>
                      <w:rPr>
                        <w:b/>
                        <w:w w:val="90"/>
                        <w:sz w:val="28"/>
                      </w:rPr>
                      <w:t>Hours</w:t>
                    </w:r>
                    <w:r>
                      <w:rPr>
                        <w:b/>
                        <w:spacing w:val="-28"/>
                        <w:w w:val="90"/>
                        <w:sz w:val="28"/>
                      </w:rPr>
                      <w:t> </w:t>
                    </w:r>
                    <w:r>
                      <w:rPr>
                        <w:b/>
                        <w:w w:val="90"/>
                        <w:sz w:val="28"/>
                      </w:rPr>
                      <w:t>per</w:t>
                    </w:r>
                    <w:r>
                      <w:rPr>
                        <w:b/>
                        <w:spacing w:val="-23"/>
                        <w:w w:val="90"/>
                        <w:sz w:val="28"/>
                      </w:rPr>
                      <w:t> </w:t>
                    </w:r>
                    <w:r>
                      <w:rPr>
                        <w:b/>
                        <w:w w:val="90"/>
                        <w:sz w:val="28"/>
                      </w:rPr>
                      <w:t>week</w:t>
                    </w:r>
                    <w:r>
                      <w:rPr>
                        <w:b/>
                        <w:spacing w:val="-22"/>
                        <w:w w:val="90"/>
                        <w:sz w:val="28"/>
                      </w:rPr>
                      <w:t> </w:t>
                    </w:r>
                    <w:r>
                      <w:rPr>
                        <w:b/>
                        <w:w w:val="90"/>
                        <w:sz w:val="28"/>
                      </w:rPr>
                      <w:t>the</w:t>
                    </w:r>
                    <w:r>
                      <w:rPr>
                        <w:b/>
                        <w:spacing w:val="-24"/>
                        <w:w w:val="90"/>
                        <w:sz w:val="28"/>
                      </w:rPr>
                      <w:t> </w:t>
                    </w:r>
                    <w:r>
                      <w:rPr>
                        <w:b/>
                        <w:w w:val="90"/>
                        <w:sz w:val="28"/>
                      </w:rPr>
                      <w:t>facility</w:t>
                    </w:r>
                    <w:r>
                      <w:rPr>
                        <w:b/>
                        <w:spacing w:val="-25"/>
                        <w:w w:val="90"/>
                        <w:sz w:val="28"/>
                      </w:rPr>
                      <w:t> </w:t>
                    </w:r>
                    <w:r>
                      <w:rPr>
                        <w:b/>
                        <w:w w:val="90"/>
                        <w:sz w:val="28"/>
                      </w:rPr>
                      <w:t>is</w:t>
                    </w:r>
                    <w:r>
                      <w:rPr>
                        <w:b/>
                        <w:spacing w:val="-24"/>
                        <w:w w:val="90"/>
                        <w:sz w:val="28"/>
                      </w:rPr>
                      <w:t> </w:t>
                    </w:r>
                    <w:r>
                      <w:rPr>
                        <w:b/>
                        <w:w w:val="90"/>
                        <w:sz w:val="28"/>
                      </w:rPr>
                      <w:t>opened</w:t>
                    </w:r>
                  </w:p>
                  <w:p>
                    <w:pPr>
                      <w:spacing w:before="21"/>
                      <w:ind w:left="6" w:right="18" w:firstLine="0"/>
                      <w:jc w:val="center"/>
                      <w:rPr>
                        <w:b/>
                        <w:sz w:val="28"/>
                      </w:rPr>
                    </w:pPr>
                    <w:r>
                      <w:rPr>
                        <w:b/>
                        <w:w w:val="90"/>
                        <w:sz w:val="28"/>
                      </w:rPr>
                      <w:t>to the public</w:t>
                    </w:r>
                  </w:p>
                  <w:p>
                    <w:pPr>
                      <w:tabs>
                        <w:tab w:pos="1627" w:val="left" w:leader="none"/>
                        <w:tab w:pos="2514" w:val="left" w:leader="none"/>
                        <w:tab w:pos="3401" w:val="left" w:leader="none"/>
                      </w:tabs>
                      <w:spacing w:before="214"/>
                      <w:ind w:left="841" w:right="0" w:firstLine="0"/>
                      <w:jc w:val="left"/>
                      <w:rPr>
                        <w:sz w:val="20"/>
                      </w:rPr>
                    </w:pPr>
                    <w:r>
                      <w:rPr>
                        <w:sz w:val="20"/>
                      </w:rPr>
                      <w:t>0</w:t>
                    </w:r>
                    <w:r>
                      <w:rPr>
                        <w:spacing w:val="-21"/>
                        <w:sz w:val="20"/>
                      </w:rPr>
                      <w:t> </w:t>
                    </w:r>
                    <w:r>
                      <w:rPr>
                        <w:sz w:val="20"/>
                      </w:rPr>
                      <w:t>-</w:t>
                    </w:r>
                    <w:r>
                      <w:rPr>
                        <w:spacing w:val="-20"/>
                        <w:sz w:val="20"/>
                      </w:rPr>
                      <w:t> </w:t>
                    </w:r>
                    <w:r>
                      <w:rPr>
                        <w:sz w:val="20"/>
                      </w:rPr>
                      <w:t>10</w:t>
                      <w:tab/>
                      <w:t>10</w:t>
                    </w:r>
                    <w:r>
                      <w:rPr>
                        <w:spacing w:val="-24"/>
                        <w:sz w:val="20"/>
                      </w:rPr>
                      <w:t> </w:t>
                    </w:r>
                    <w:r>
                      <w:rPr>
                        <w:sz w:val="20"/>
                      </w:rPr>
                      <w:t>-</w:t>
                    </w:r>
                    <w:r>
                      <w:rPr>
                        <w:spacing w:val="-21"/>
                        <w:sz w:val="20"/>
                      </w:rPr>
                      <w:t> </w:t>
                    </w:r>
                    <w:r>
                      <w:rPr>
                        <w:sz w:val="20"/>
                      </w:rPr>
                      <w:t>20</w:t>
                      <w:tab/>
                      <w:t>20</w:t>
                    </w:r>
                    <w:r>
                      <w:rPr>
                        <w:spacing w:val="-24"/>
                        <w:sz w:val="20"/>
                      </w:rPr>
                      <w:t> </w:t>
                    </w:r>
                    <w:r>
                      <w:rPr>
                        <w:sz w:val="20"/>
                      </w:rPr>
                      <w:t>-</w:t>
                    </w:r>
                    <w:r>
                      <w:rPr>
                        <w:spacing w:val="-21"/>
                        <w:sz w:val="20"/>
                      </w:rPr>
                      <w:t> </w:t>
                    </w:r>
                    <w:r>
                      <w:rPr>
                        <w:sz w:val="20"/>
                      </w:rPr>
                      <w:t>30</w:t>
                      <w:tab/>
                      <w:t>30+</w:t>
                    </w:r>
                  </w:p>
                </w:txbxContent>
              </v:textbox>
              <w10:wrap type="none"/>
            </v:shape>
            <v:shape style="position:absolute;left:5560;top:2052;width:364;height:200" type="#_x0000_t202" filled="false" stroked="false">
              <v:textbox inset="0,0,0,0">
                <w:txbxContent>
                  <w:p>
                    <w:pPr>
                      <w:spacing w:line="192" w:lineRule="exact" w:before="0"/>
                      <w:ind w:left="0" w:right="0" w:firstLine="0"/>
                      <w:jc w:val="left"/>
                      <w:rPr>
                        <w:sz w:val="20"/>
                      </w:rPr>
                    </w:pPr>
                    <w:r>
                      <w:rPr>
                        <w:w w:val="85"/>
                        <w:sz w:val="20"/>
                      </w:rPr>
                      <w:t>19%</w:t>
                    </w:r>
                  </w:p>
                </w:txbxContent>
              </v:textbox>
              <w10:wrap type="none"/>
            </v:shape>
            <v:shape style="position:absolute;left:4405;top:2877;width:364;height:200" type="#_x0000_t202" filled="false" stroked="false">
              <v:textbox inset="0,0,0,0">
                <w:txbxContent>
                  <w:p>
                    <w:pPr>
                      <w:spacing w:line="192" w:lineRule="exact" w:before="0"/>
                      <w:ind w:left="0" w:right="0" w:firstLine="0"/>
                      <w:jc w:val="left"/>
                      <w:rPr>
                        <w:sz w:val="20"/>
                      </w:rPr>
                    </w:pPr>
                    <w:r>
                      <w:rPr>
                        <w:w w:val="85"/>
                        <w:sz w:val="20"/>
                      </w:rPr>
                      <w:t>53%</w:t>
                    </w:r>
                  </w:p>
                </w:txbxContent>
              </v:textbox>
              <w10:wrap type="none"/>
            </v:shape>
            <v:shape style="position:absolute;left:5920;top:2788;width:364;height:200" type="#_x0000_t202" filled="false" stroked="false">
              <v:textbox inset="0,0,0,0">
                <w:txbxContent>
                  <w:p>
                    <w:pPr>
                      <w:spacing w:line="192" w:lineRule="exact" w:before="0"/>
                      <w:ind w:left="0" w:right="0" w:firstLine="0"/>
                      <w:jc w:val="left"/>
                      <w:rPr>
                        <w:sz w:val="20"/>
                      </w:rPr>
                    </w:pPr>
                    <w:r>
                      <w:rPr>
                        <w:w w:val="85"/>
                        <w:sz w:val="20"/>
                      </w:rPr>
                      <w:t>17%</w:t>
                    </w:r>
                  </w:p>
                </w:txbxContent>
              </v:textbox>
              <w10:wrap type="none"/>
            </v:shape>
            <v:shape style="position:absolute;left:5545;top:3372;width:364;height:200" type="#_x0000_t202" filled="false" stroked="false">
              <v:textbox inset="0,0,0,0">
                <w:txbxContent>
                  <w:p>
                    <w:pPr>
                      <w:spacing w:line="192" w:lineRule="exact" w:before="0"/>
                      <w:ind w:left="0" w:right="0" w:firstLine="0"/>
                      <w:jc w:val="left"/>
                      <w:rPr>
                        <w:sz w:val="20"/>
                      </w:rPr>
                    </w:pPr>
                    <w:r>
                      <w:rPr>
                        <w:w w:val="85"/>
                        <w:sz w:val="20"/>
                      </w:rPr>
                      <w:t>12%</w:t>
                    </w:r>
                  </w:p>
                </w:txbxContent>
              </v:textbox>
              <w10:wrap type="none"/>
            </v:shape>
            <w10:wrap type="topAndBottom"/>
          </v:group>
        </w:pict>
      </w:r>
      <w:r>
        <w:rPr>
          <w:b/>
          <w:sz w:val="20"/>
        </w:rPr>
        <w:t>Figure 16: Hours opened to the public</w:t>
      </w:r>
    </w:p>
    <w:p>
      <w:pPr>
        <w:pStyle w:val="BodyText"/>
        <w:rPr>
          <w:b/>
          <w:sz w:val="20"/>
        </w:rPr>
      </w:pPr>
    </w:p>
    <w:p>
      <w:pPr>
        <w:pStyle w:val="BodyText"/>
        <w:spacing w:before="8"/>
        <w:rPr>
          <w:b/>
          <w:sz w:val="16"/>
        </w:rPr>
      </w:pPr>
    </w:p>
    <w:p>
      <w:pPr>
        <w:pStyle w:val="BodyText"/>
        <w:spacing w:line="360" w:lineRule="auto" w:before="93"/>
        <w:ind w:left="150" w:right="175"/>
      </w:pPr>
      <w:r>
        <w:rPr/>
        <w:t>The facilities are opened at varied times with the majority stating that they mostly open during the evenings (29%) and weekend (25%).</w:t>
      </w:r>
    </w:p>
    <w:p>
      <w:pPr>
        <w:pStyle w:val="BodyText"/>
        <w:spacing w:before="1"/>
        <w:rPr>
          <w:sz w:val="36"/>
        </w:rPr>
      </w:pPr>
    </w:p>
    <w:p>
      <w:pPr>
        <w:spacing w:before="0"/>
        <w:ind w:left="150" w:right="0" w:firstLine="0"/>
        <w:jc w:val="left"/>
        <w:rPr>
          <w:b/>
          <w:sz w:val="20"/>
        </w:rPr>
      </w:pPr>
      <w:r>
        <w:rPr/>
        <w:pict>
          <v:group style="position:absolute;margin-left:79.574997pt;margin-top:17.094872pt;width:369.75pt;height:174.75pt;mso-position-horizontal-relative:page;mso-position-vertical-relative:paragraph;z-index:3064;mso-wrap-distance-left:0;mso-wrap-distance-right:0" coordorigin="1591,342" coordsize="7395,3495">
            <v:shape style="position:absolute;left:5373;top:1594;width:1037;height:1042" coordorigin="5374,1595" coordsize="1037,1042" path="m5374,1595l5374,2637,6410,2536,6400,2460,6385,2387,6365,2316,6340,2247,6310,2180,6276,2116,6238,2055,6195,1997,6149,1941,6100,1890,6047,1842,5990,1797,5931,1757,5869,1720,5805,1688,5738,1660,5668,1637,5597,1619,5524,1606,5450,1598,5374,1595xe" filled="true" fillcolor="#4f81bc" stroked="false">
              <v:path arrowok="t"/>
              <v:fill type="solid"/>
            </v:shape>
            <v:shape style="position:absolute;left:5373;top:2535;width:1042;height:1115" coordorigin="5374,2536" coordsize="1042,1115" path="m6410,2536l5374,2637,5611,3651,5686,3630,5758,3605,5828,3574,5894,3539,5957,3499,6017,3456,6074,3408,6126,3356,6175,3302,6220,3243,6261,3182,6297,3118,6329,3052,6356,2983,6378,2912,6395,2840,6407,2766,6414,2690,6415,2613,6410,2536xe" filled="true" fillcolor="#c0504d" stroked="false">
              <v:path arrowok="t"/>
              <v:fill type="solid"/>
            </v:shape>
            <v:shape style="position:absolute;left:4332;top:2626;width:1279;height:1052" coordorigin="4332,2627" coordsize="1279,1052" path="m4332,2627l4334,2701,4341,2774,4353,2846,4370,2915,4391,2983,4417,3049,4447,3113,4481,3174,4519,3232,4561,3288,4606,3341,4655,3390,4707,3437,4762,3480,4819,3519,4880,3554,4943,3585,5008,3612,5076,3635,5145,3653,5216,3666,5289,3675,5364,3678,5426,3677,5488,3672,5550,3663,5611,3651,5374,2637,4332,2627xe" filled="true" fillcolor="#9bba58" stroked="false">
              <v:path arrowok="t"/>
              <v:fill type="solid"/>
            </v:shape>
            <v:shape style="position:absolute;left:4332;top:1594;width:1042;height:1042" coordorigin="4332,1595" coordsize="1042,1042" path="m5374,1595l5296,1598,5221,1606,5147,1620,5075,1639,5005,1662,4937,1691,4872,1724,4810,1761,4750,1802,4694,1847,4641,1897,4591,1949,4545,2005,4503,2064,4465,2126,4432,2191,4403,2258,4378,2328,4359,2400,4345,2474,4336,2549,4332,2627,5374,2637,5374,1595xe" filled="true" fillcolor="#8063a1" stroked="false">
              <v:path arrowok="t"/>
              <v:fill type="solid"/>
            </v:shape>
            <v:rect style="position:absolute;left:2709;top:1117;width:113;height:113" filled="true" fillcolor="#4f81bc" stroked="false">
              <v:fill type="solid"/>
            </v:rect>
            <v:rect style="position:absolute;left:3892;top:1117;width:113;height:113" filled="true" fillcolor="#c0504d" stroked="false">
              <v:fill type="solid"/>
            </v:rect>
            <v:rect style="position:absolute;left:5215;top:1117;width:113;height:113" filled="true" fillcolor="#9bba58" stroked="false">
              <v:fill type="solid"/>
            </v:rect>
            <v:rect style="position:absolute;left:6936;top:1117;width:113;height:113" filled="true" fillcolor="#8063a1" stroked="false">
              <v:fill type="solid"/>
            </v:rect>
            <v:rect style="position:absolute;left:1599;top:349;width:7380;height:3480" filled="false" stroked="true" strokeweight=".75pt" strokecolor="#858585">
              <v:stroke dashstyle="solid"/>
            </v:rect>
            <v:shape style="position:absolute;left:3703;top:556;width:3189;height:281" type="#_x0000_t202" filled="false" stroked="false">
              <v:textbox inset="0,0,0,0">
                <w:txbxContent>
                  <w:p>
                    <w:pPr>
                      <w:spacing w:line="270" w:lineRule="exact" w:before="0"/>
                      <w:ind w:left="0" w:right="0" w:firstLine="0"/>
                      <w:jc w:val="left"/>
                      <w:rPr>
                        <w:b/>
                        <w:sz w:val="28"/>
                      </w:rPr>
                    </w:pPr>
                    <w:r>
                      <w:rPr>
                        <w:b/>
                        <w:w w:val="90"/>
                        <w:sz w:val="28"/>
                      </w:rPr>
                      <w:t>Times</w:t>
                    </w:r>
                    <w:r>
                      <w:rPr>
                        <w:b/>
                        <w:spacing w:val="-34"/>
                        <w:w w:val="90"/>
                        <w:sz w:val="28"/>
                      </w:rPr>
                      <w:t> </w:t>
                    </w:r>
                    <w:r>
                      <w:rPr>
                        <w:b/>
                        <w:w w:val="90"/>
                        <w:sz w:val="28"/>
                      </w:rPr>
                      <w:t>the</w:t>
                    </w:r>
                    <w:r>
                      <w:rPr>
                        <w:b/>
                        <w:spacing w:val="-33"/>
                        <w:w w:val="90"/>
                        <w:sz w:val="28"/>
                      </w:rPr>
                      <w:t> </w:t>
                    </w:r>
                    <w:r>
                      <w:rPr>
                        <w:b/>
                        <w:w w:val="90"/>
                        <w:sz w:val="28"/>
                      </w:rPr>
                      <w:t>facility</w:t>
                    </w:r>
                    <w:r>
                      <w:rPr>
                        <w:b/>
                        <w:spacing w:val="-34"/>
                        <w:w w:val="90"/>
                        <w:sz w:val="28"/>
                      </w:rPr>
                      <w:t> </w:t>
                    </w:r>
                    <w:r>
                      <w:rPr>
                        <w:b/>
                        <w:w w:val="90"/>
                        <w:sz w:val="28"/>
                      </w:rPr>
                      <w:t>is</w:t>
                    </w:r>
                    <w:r>
                      <w:rPr>
                        <w:b/>
                        <w:spacing w:val="-33"/>
                        <w:w w:val="90"/>
                        <w:sz w:val="28"/>
                      </w:rPr>
                      <w:t> </w:t>
                    </w:r>
                    <w:r>
                      <w:rPr>
                        <w:b/>
                        <w:w w:val="90"/>
                        <w:sz w:val="28"/>
                      </w:rPr>
                      <w:t>opened</w:t>
                    </w:r>
                  </w:p>
                </w:txbxContent>
              </v:textbox>
              <w10:wrap type="none"/>
            </v:shape>
            <v:shape style="position:absolute;left:2866;top:1080;width:795;height:200" type="#_x0000_t202" filled="false" stroked="false">
              <v:textbox inset="0,0,0,0">
                <w:txbxContent>
                  <w:p>
                    <w:pPr>
                      <w:spacing w:line="192" w:lineRule="exact" w:before="0"/>
                      <w:ind w:left="0" w:right="0" w:firstLine="0"/>
                      <w:jc w:val="left"/>
                      <w:rPr>
                        <w:sz w:val="20"/>
                      </w:rPr>
                    </w:pPr>
                    <w:r>
                      <w:rPr>
                        <w:w w:val="95"/>
                        <w:sz w:val="20"/>
                      </w:rPr>
                      <w:t>Mornings</w:t>
                    </w:r>
                  </w:p>
                </w:txbxContent>
              </v:textbox>
              <w10:wrap type="none"/>
            </v:shape>
            <v:shape style="position:absolute;left:4049;top:1080;width:931;height:200" type="#_x0000_t202" filled="false" stroked="false">
              <v:textbox inset="0,0,0,0">
                <w:txbxContent>
                  <w:p>
                    <w:pPr>
                      <w:spacing w:line="192" w:lineRule="exact" w:before="0"/>
                      <w:ind w:left="0" w:right="0" w:firstLine="0"/>
                      <w:jc w:val="left"/>
                      <w:rPr>
                        <w:sz w:val="20"/>
                      </w:rPr>
                    </w:pPr>
                    <w:r>
                      <w:rPr>
                        <w:w w:val="95"/>
                        <w:sz w:val="20"/>
                      </w:rPr>
                      <w:t>Afternoons</w:t>
                    </w:r>
                  </w:p>
                </w:txbxContent>
              </v:textbox>
              <w10:wrap type="none"/>
            </v:shape>
            <v:shape style="position:absolute;left:5371;top:1080;width:1329;height:200" type="#_x0000_t202" filled="false" stroked="false">
              <v:textbox inset="0,0,0,0">
                <w:txbxContent>
                  <w:p>
                    <w:pPr>
                      <w:spacing w:line="192" w:lineRule="exact" w:before="0"/>
                      <w:ind w:left="0" w:right="0" w:firstLine="0"/>
                      <w:jc w:val="left"/>
                      <w:rPr>
                        <w:sz w:val="20"/>
                      </w:rPr>
                    </w:pPr>
                    <w:r>
                      <w:rPr>
                        <w:w w:val="90"/>
                        <w:sz w:val="20"/>
                      </w:rPr>
                      <w:t>Evenings/Nights</w:t>
                    </w:r>
                  </w:p>
                </w:txbxContent>
              </v:textbox>
              <w10:wrap type="none"/>
            </v:shape>
            <v:shape style="position:absolute;left:7093;top:1080;width:873;height:200" type="#_x0000_t202" filled="false" stroked="false">
              <v:textbox inset="0,0,0,0">
                <w:txbxContent>
                  <w:p>
                    <w:pPr>
                      <w:spacing w:line="192" w:lineRule="exact" w:before="0"/>
                      <w:ind w:left="0" w:right="0" w:firstLine="0"/>
                      <w:jc w:val="left"/>
                      <w:rPr>
                        <w:sz w:val="20"/>
                      </w:rPr>
                    </w:pPr>
                    <w:r>
                      <w:rPr>
                        <w:w w:val="90"/>
                        <w:sz w:val="20"/>
                      </w:rPr>
                      <w:t>Weekends</w:t>
                    </w:r>
                  </w:p>
                </w:txbxContent>
              </v:textbox>
              <w10:wrap type="none"/>
            </v:shape>
            <v:shape style="position:absolute;left:4646;top:2056;width:364;height:200" type="#_x0000_t202" filled="false" stroked="false">
              <v:textbox inset="0,0,0,0">
                <w:txbxContent>
                  <w:p>
                    <w:pPr>
                      <w:spacing w:line="192" w:lineRule="exact" w:before="0"/>
                      <w:ind w:left="0" w:right="0" w:firstLine="0"/>
                      <w:jc w:val="left"/>
                      <w:rPr>
                        <w:sz w:val="20"/>
                      </w:rPr>
                    </w:pPr>
                    <w:r>
                      <w:rPr>
                        <w:w w:val="85"/>
                        <w:sz w:val="20"/>
                      </w:rPr>
                      <w:t>25%</w:t>
                    </w:r>
                  </w:p>
                </w:txbxContent>
              </v:textbox>
              <w10:wrap type="none"/>
            </v:shape>
            <v:shape style="position:absolute;left:5712;top:2025;width:364;height:200" type="#_x0000_t202" filled="false" stroked="false">
              <v:textbox inset="0,0,0,0">
                <w:txbxContent>
                  <w:p>
                    <w:pPr>
                      <w:spacing w:line="192" w:lineRule="exact" w:before="0"/>
                      <w:ind w:left="0" w:right="0" w:firstLine="0"/>
                      <w:jc w:val="left"/>
                      <w:rPr>
                        <w:sz w:val="20"/>
                      </w:rPr>
                    </w:pPr>
                    <w:r>
                      <w:rPr>
                        <w:w w:val="85"/>
                        <w:sz w:val="20"/>
                      </w:rPr>
                      <w:t>23%</w:t>
                    </w:r>
                  </w:p>
                </w:txbxContent>
              </v:textbox>
              <w10:wrap type="none"/>
            </v:shape>
            <v:shape style="position:absolute;left:4677;top:3106;width:364;height:200" type="#_x0000_t202" filled="false" stroked="false">
              <v:textbox inset="0,0,0,0">
                <w:txbxContent>
                  <w:p>
                    <w:pPr>
                      <w:spacing w:line="192" w:lineRule="exact" w:before="0"/>
                      <w:ind w:left="0" w:right="0" w:firstLine="0"/>
                      <w:jc w:val="left"/>
                      <w:rPr>
                        <w:sz w:val="20"/>
                      </w:rPr>
                    </w:pPr>
                    <w:r>
                      <w:rPr>
                        <w:w w:val="85"/>
                        <w:sz w:val="20"/>
                      </w:rPr>
                      <w:t>29%</w:t>
                    </w:r>
                  </w:p>
                </w:txbxContent>
              </v:textbox>
              <w10:wrap type="none"/>
            </v:shape>
            <v:shape style="position:absolute;left:5832;top:2971;width:364;height:200" type="#_x0000_t202" filled="false" stroked="false">
              <v:textbox inset="0,0,0,0">
                <w:txbxContent>
                  <w:p>
                    <w:pPr>
                      <w:spacing w:line="192" w:lineRule="exact" w:before="0"/>
                      <w:ind w:left="0" w:right="0" w:firstLine="0"/>
                      <w:jc w:val="left"/>
                      <w:rPr>
                        <w:sz w:val="20"/>
                      </w:rPr>
                    </w:pPr>
                    <w:r>
                      <w:rPr>
                        <w:w w:val="85"/>
                        <w:sz w:val="20"/>
                      </w:rPr>
                      <w:t>23%</w:t>
                    </w:r>
                  </w:p>
                </w:txbxContent>
              </v:textbox>
              <w10:wrap type="none"/>
            </v:shape>
            <w10:wrap type="topAndBottom"/>
          </v:group>
        </w:pict>
      </w:r>
      <w:r>
        <w:rPr>
          <w:b/>
          <w:sz w:val="20"/>
        </w:rPr>
        <w:t>Figure 17: Times the facility is opened</w:t>
      </w:r>
    </w:p>
    <w:p>
      <w:pPr>
        <w:pStyle w:val="BodyText"/>
        <w:rPr>
          <w:b/>
          <w:sz w:val="22"/>
        </w:rPr>
      </w:pPr>
    </w:p>
    <w:p>
      <w:pPr>
        <w:pStyle w:val="BodyText"/>
        <w:spacing w:before="9"/>
        <w:rPr>
          <w:b/>
          <w:sz w:val="22"/>
        </w:rPr>
      </w:pPr>
    </w:p>
    <w:p>
      <w:pPr>
        <w:pStyle w:val="Heading3"/>
        <w:ind w:left="150"/>
        <w:rPr>
          <w:u w:val="none"/>
        </w:rPr>
      </w:pPr>
      <w:r>
        <w:rPr>
          <w:u w:val="none"/>
        </w:rPr>
        <w:t>Insurance</w:t>
      </w:r>
    </w:p>
    <w:p>
      <w:pPr>
        <w:pStyle w:val="BodyText"/>
        <w:spacing w:line="360" w:lineRule="auto" w:before="136"/>
        <w:ind w:left="150" w:right="202"/>
      </w:pPr>
      <w:r>
        <w:rPr/>
        <w:t>The questionnaire asked respondents to specify the types of insurance policies they held on their premises. All those who responded stated they had some form if insurance policy with almost all having ‘Public Liability’ 97%, followed by ‘Property Damage Cover’ (41%) being the most common types of insurance policies held. Table 3 provides a full breakdown of the various types of policies held by the facilities.</w:t>
      </w:r>
    </w:p>
    <w:p>
      <w:pPr>
        <w:spacing w:after="0" w:line="360" w:lineRule="auto"/>
        <w:sectPr>
          <w:pgSz w:w="11910" w:h="17340"/>
          <w:pgMar w:header="759" w:footer="1014" w:top="940" w:bottom="1200" w:left="1420" w:right="980"/>
        </w:sectPr>
      </w:pPr>
    </w:p>
    <w:p>
      <w:pPr>
        <w:pStyle w:val="BodyText"/>
        <w:spacing w:before="3"/>
        <w:rPr>
          <w:sz w:val="15"/>
        </w:rPr>
      </w:pPr>
    </w:p>
    <w:p>
      <w:pPr>
        <w:spacing w:before="93"/>
        <w:ind w:left="230" w:right="0" w:firstLine="0"/>
        <w:jc w:val="left"/>
        <w:rPr>
          <w:b/>
          <w:sz w:val="20"/>
        </w:rPr>
      </w:pPr>
      <w:r>
        <w:rPr>
          <w:b/>
          <w:sz w:val="20"/>
        </w:rPr>
        <w:t>Table: 3: Types of Insurances</w:t>
      </w:r>
    </w:p>
    <w:p>
      <w:pPr>
        <w:pStyle w:val="BodyText"/>
        <w:spacing w:before="4"/>
        <w:rPr>
          <w:b/>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2"/>
        <w:gridCol w:w="2125"/>
        <w:gridCol w:w="2230"/>
      </w:tblGrid>
      <w:tr>
        <w:trPr>
          <w:trHeight w:val="400" w:hRule="atLeast"/>
        </w:trPr>
        <w:tc>
          <w:tcPr>
            <w:tcW w:w="5072" w:type="dxa"/>
            <w:shd w:val="clear" w:color="auto" w:fill="8DB3E1"/>
          </w:tcPr>
          <w:p>
            <w:pPr>
              <w:pStyle w:val="TableParagraph"/>
              <w:spacing w:line="275" w:lineRule="exact"/>
              <w:ind w:left="102"/>
              <w:rPr>
                <w:b/>
                <w:sz w:val="24"/>
              </w:rPr>
            </w:pPr>
            <w:r>
              <w:rPr>
                <w:b/>
                <w:sz w:val="24"/>
              </w:rPr>
              <w:t>Type of Insurance</w:t>
            </w:r>
          </w:p>
        </w:tc>
        <w:tc>
          <w:tcPr>
            <w:tcW w:w="2125" w:type="dxa"/>
            <w:shd w:val="clear" w:color="auto" w:fill="8DB3E1"/>
          </w:tcPr>
          <w:p>
            <w:pPr>
              <w:pStyle w:val="TableParagraph"/>
              <w:spacing w:line="275" w:lineRule="exact"/>
              <w:ind w:left="583" w:right="584"/>
              <w:jc w:val="center"/>
              <w:rPr>
                <w:b/>
                <w:sz w:val="24"/>
              </w:rPr>
            </w:pPr>
            <w:r>
              <w:rPr>
                <w:b/>
                <w:sz w:val="24"/>
              </w:rPr>
              <w:t>Number</w:t>
            </w:r>
          </w:p>
        </w:tc>
        <w:tc>
          <w:tcPr>
            <w:tcW w:w="2230" w:type="dxa"/>
            <w:shd w:val="clear" w:color="auto" w:fill="8DB3E1"/>
          </w:tcPr>
          <w:p>
            <w:pPr>
              <w:pStyle w:val="TableParagraph"/>
              <w:spacing w:line="275" w:lineRule="exact"/>
              <w:ind w:left="442" w:right="444"/>
              <w:jc w:val="center"/>
              <w:rPr>
                <w:b/>
                <w:sz w:val="24"/>
              </w:rPr>
            </w:pPr>
            <w:r>
              <w:rPr>
                <w:b/>
                <w:sz w:val="24"/>
              </w:rPr>
              <w:t>Percentage</w:t>
            </w:r>
          </w:p>
        </w:tc>
      </w:tr>
      <w:tr>
        <w:trPr>
          <w:trHeight w:val="400" w:hRule="atLeast"/>
        </w:trPr>
        <w:tc>
          <w:tcPr>
            <w:tcW w:w="5072" w:type="dxa"/>
          </w:tcPr>
          <w:p>
            <w:pPr>
              <w:pStyle w:val="TableParagraph"/>
              <w:spacing w:line="274" w:lineRule="exact"/>
              <w:ind w:left="102"/>
              <w:rPr>
                <w:sz w:val="24"/>
              </w:rPr>
            </w:pPr>
            <w:r>
              <w:rPr>
                <w:sz w:val="24"/>
              </w:rPr>
              <w:t>Public Liability</w:t>
            </w:r>
          </w:p>
        </w:tc>
        <w:tc>
          <w:tcPr>
            <w:tcW w:w="2125" w:type="dxa"/>
          </w:tcPr>
          <w:p>
            <w:pPr>
              <w:pStyle w:val="TableParagraph"/>
              <w:spacing w:line="274" w:lineRule="exact"/>
              <w:ind w:left="582" w:right="584"/>
              <w:jc w:val="center"/>
              <w:rPr>
                <w:sz w:val="24"/>
              </w:rPr>
            </w:pPr>
            <w:r>
              <w:rPr>
                <w:sz w:val="24"/>
              </w:rPr>
              <w:t>117</w:t>
            </w:r>
          </w:p>
        </w:tc>
        <w:tc>
          <w:tcPr>
            <w:tcW w:w="2230" w:type="dxa"/>
          </w:tcPr>
          <w:p>
            <w:pPr>
              <w:pStyle w:val="TableParagraph"/>
              <w:spacing w:line="274" w:lineRule="exact"/>
              <w:ind w:left="442" w:right="442"/>
              <w:jc w:val="center"/>
              <w:rPr>
                <w:sz w:val="24"/>
              </w:rPr>
            </w:pPr>
            <w:r>
              <w:rPr>
                <w:sz w:val="24"/>
              </w:rPr>
              <w:t>97%</w:t>
            </w:r>
          </w:p>
        </w:tc>
      </w:tr>
      <w:tr>
        <w:trPr>
          <w:trHeight w:val="400" w:hRule="atLeast"/>
        </w:trPr>
        <w:tc>
          <w:tcPr>
            <w:tcW w:w="5072" w:type="dxa"/>
          </w:tcPr>
          <w:p>
            <w:pPr>
              <w:pStyle w:val="TableParagraph"/>
              <w:spacing w:line="274" w:lineRule="exact"/>
              <w:ind w:left="102"/>
              <w:rPr>
                <w:sz w:val="24"/>
              </w:rPr>
            </w:pPr>
            <w:r>
              <w:rPr>
                <w:sz w:val="24"/>
              </w:rPr>
              <w:t>Employer Liability</w:t>
            </w:r>
          </w:p>
        </w:tc>
        <w:tc>
          <w:tcPr>
            <w:tcW w:w="2125" w:type="dxa"/>
          </w:tcPr>
          <w:p>
            <w:pPr>
              <w:pStyle w:val="TableParagraph"/>
              <w:spacing w:line="274" w:lineRule="exact"/>
              <w:ind w:left="582" w:right="584"/>
              <w:jc w:val="center"/>
              <w:rPr>
                <w:sz w:val="24"/>
              </w:rPr>
            </w:pPr>
            <w:r>
              <w:rPr>
                <w:sz w:val="24"/>
              </w:rPr>
              <w:t>36</w:t>
            </w:r>
          </w:p>
        </w:tc>
        <w:tc>
          <w:tcPr>
            <w:tcW w:w="2230" w:type="dxa"/>
          </w:tcPr>
          <w:p>
            <w:pPr>
              <w:pStyle w:val="TableParagraph"/>
              <w:spacing w:line="274" w:lineRule="exact"/>
              <w:ind w:left="442" w:right="442"/>
              <w:jc w:val="center"/>
              <w:rPr>
                <w:sz w:val="24"/>
              </w:rPr>
            </w:pPr>
            <w:r>
              <w:rPr>
                <w:sz w:val="24"/>
              </w:rPr>
              <w:t>30%</w:t>
            </w:r>
          </w:p>
        </w:tc>
      </w:tr>
      <w:tr>
        <w:trPr>
          <w:trHeight w:val="400" w:hRule="atLeast"/>
        </w:trPr>
        <w:tc>
          <w:tcPr>
            <w:tcW w:w="5072" w:type="dxa"/>
          </w:tcPr>
          <w:p>
            <w:pPr>
              <w:pStyle w:val="TableParagraph"/>
              <w:spacing w:line="274" w:lineRule="exact"/>
              <w:ind w:left="102"/>
              <w:rPr>
                <w:sz w:val="24"/>
              </w:rPr>
            </w:pPr>
            <w:r>
              <w:rPr>
                <w:sz w:val="24"/>
              </w:rPr>
              <w:t>Burglary Cover</w:t>
            </w:r>
          </w:p>
        </w:tc>
        <w:tc>
          <w:tcPr>
            <w:tcW w:w="2125" w:type="dxa"/>
          </w:tcPr>
          <w:p>
            <w:pPr>
              <w:pStyle w:val="TableParagraph"/>
              <w:spacing w:line="274" w:lineRule="exact"/>
              <w:ind w:left="582" w:right="584"/>
              <w:jc w:val="center"/>
              <w:rPr>
                <w:sz w:val="24"/>
              </w:rPr>
            </w:pPr>
            <w:r>
              <w:rPr>
                <w:sz w:val="24"/>
              </w:rPr>
              <w:t>22</w:t>
            </w:r>
          </w:p>
        </w:tc>
        <w:tc>
          <w:tcPr>
            <w:tcW w:w="2230" w:type="dxa"/>
          </w:tcPr>
          <w:p>
            <w:pPr>
              <w:pStyle w:val="TableParagraph"/>
              <w:spacing w:line="274" w:lineRule="exact"/>
              <w:ind w:left="442" w:right="442"/>
              <w:jc w:val="center"/>
              <w:rPr>
                <w:sz w:val="24"/>
              </w:rPr>
            </w:pPr>
            <w:r>
              <w:rPr>
                <w:sz w:val="24"/>
              </w:rPr>
              <w:t>18%</w:t>
            </w:r>
          </w:p>
        </w:tc>
      </w:tr>
      <w:tr>
        <w:trPr>
          <w:trHeight w:val="400" w:hRule="atLeast"/>
        </w:trPr>
        <w:tc>
          <w:tcPr>
            <w:tcW w:w="5072" w:type="dxa"/>
          </w:tcPr>
          <w:p>
            <w:pPr>
              <w:pStyle w:val="TableParagraph"/>
              <w:spacing w:line="274" w:lineRule="exact"/>
              <w:ind w:left="102"/>
              <w:rPr>
                <w:sz w:val="24"/>
              </w:rPr>
            </w:pPr>
            <w:r>
              <w:rPr>
                <w:sz w:val="24"/>
              </w:rPr>
              <w:t>Money Cover</w:t>
            </w:r>
          </w:p>
        </w:tc>
        <w:tc>
          <w:tcPr>
            <w:tcW w:w="2125" w:type="dxa"/>
          </w:tcPr>
          <w:p>
            <w:pPr>
              <w:pStyle w:val="TableParagraph"/>
              <w:spacing w:line="274" w:lineRule="exact"/>
              <w:ind w:left="582" w:right="584"/>
              <w:jc w:val="center"/>
              <w:rPr>
                <w:sz w:val="24"/>
              </w:rPr>
            </w:pPr>
            <w:r>
              <w:rPr>
                <w:sz w:val="24"/>
              </w:rPr>
              <w:t>13</w:t>
            </w:r>
          </w:p>
        </w:tc>
        <w:tc>
          <w:tcPr>
            <w:tcW w:w="2230" w:type="dxa"/>
          </w:tcPr>
          <w:p>
            <w:pPr>
              <w:pStyle w:val="TableParagraph"/>
              <w:spacing w:line="274" w:lineRule="exact"/>
              <w:ind w:left="442" w:right="442"/>
              <w:jc w:val="center"/>
              <w:rPr>
                <w:sz w:val="24"/>
              </w:rPr>
            </w:pPr>
            <w:r>
              <w:rPr>
                <w:sz w:val="24"/>
              </w:rPr>
              <w:t>11%</w:t>
            </w:r>
          </w:p>
        </w:tc>
      </w:tr>
      <w:tr>
        <w:trPr>
          <w:trHeight w:val="400" w:hRule="atLeast"/>
        </w:trPr>
        <w:tc>
          <w:tcPr>
            <w:tcW w:w="5072" w:type="dxa"/>
          </w:tcPr>
          <w:p>
            <w:pPr>
              <w:pStyle w:val="TableParagraph"/>
              <w:spacing w:line="274" w:lineRule="exact"/>
              <w:ind w:left="102"/>
              <w:rPr>
                <w:sz w:val="24"/>
              </w:rPr>
            </w:pPr>
            <w:r>
              <w:rPr>
                <w:sz w:val="24"/>
              </w:rPr>
              <w:t>Property Damage Cover</w:t>
            </w:r>
          </w:p>
        </w:tc>
        <w:tc>
          <w:tcPr>
            <w:tcW w:w="2125" w:type="dxa"/>
          </w:tcPr>
          <w:p>
            <w:pPr>
              <w:pStyle w:val="TableParagraph"/>
              <w:spacing w:line="274" w:lineRule="exact"/>
              <w:ind w:left="582" w:right="584"/>
              <w:jc w:val="center"/>
              <w:rPr>
                <w:sz w:val="24"/>
              </w:rPr>
            </w:pPr>
            <w:r>
              <w:rPr>
                <w:sz w:val="24"/>
              </w:rPr>
              <w:t>49</w:t>
            </w:r>
          </w:p>
        </w:tc>
        <w:tc>
          <w:tcPr>
            <w:tcW w:w="2230" w:type="dxa"/>
          </w:tcPr>
          <w:p>
            <w:pPr>
              <w:pStyle w:val="TableParagraph"/>
              <w:spacing w:line="274" w:lineRule="exact"/>
              <w:ind w:left="442" w:right="442"/>
              <w:jc w:val="center"/>
              <w:rPr>
                <w:sz w:val="24"/>
              </w:rPr>
            </w:pPr>
            <w:r>
              <w:rPr>
                <w:sz w:val="24"/>
              </w:rPr>
              <w:t>41%</w:t>
            </w:r>
          </w:p>
        </w:tc>
      </w:tr>
      <w:tr>
        <w:trPr>
          <w:trHeight w:val="400" w:hRule="atLeast"/>
        </w:trPr>
        <w:tc>
          <w:tcPr>
            <w:tcW w:w="5072" w:type="dxa"/>
          </w:tcPr>
          <w:p>
            <w:pPr>
              <w:pStyle w:val="TableParagraph"/>
              <w:spacing w:line="274" w:lineRule="exact"/>
              <w:ind w:left="102"/>
              <w:rPr>
                <w:sz w:val="24"/>
              </w:rPr>
            </w:pPr>
            <w:r>
              <w:rPr>
                <w:sz w:val="24"/>
              </w:rPr>
              <w:t>Product Liability</w:t>
            </w:r>
          </w:p>
        </w:tc>
        <w:tc>
          <w:tcPr>
            <w:tcW w:w="2125" w:type="dxa"/>
          </w:tcPr>
          <w:p>
            <w:pPr>
              <w:pStyle w:val="TableParagraph"/>
              <w:spacing w:line="274" w:lineRule="exact"/>
              <w:ind w:right="1"/>
              <w:jc w:val="center"/>
              <w:rPr>
                <w:sz w:val="24"/>
              </w:rPr>
            </w:pPr>
            <w:r>
              <w:rPr>
                <w:w w:val="99"/>
                <w:sz w:val="24"/>
              </w:rPr>
              <w:t>5</w:t>
            </w:r>
          </w:p>
        </w:tc>
        <w:tc>
          <w:tcPr>
            <w:tcW w:w="2230" w:type="dxa"/>
          </w:tcPr>
          <w:p>
            <w:pPr>
              <w:pStyle w:val="TableParagraph"/>
              <w:spacing w:line="274" w:lineRule="exact"/>
              <w:ind w:left="441" w:right="444"/>
              <w:jc w:val="center"/>
              <w:rPr>
                <w:sz w:val="24"/>
              </w:rPr>
            </w:pPr>
            <w:r>
              <w:rPr>
                <w:sz w:val="24"/>
              </w:rPr>
              <w:t>4%</w:t>
            </w:r>
          </w:p>
        </w:tc>
      </w:tr>
      <w:tr>
        <w:trPr>
          <w:trHeight w:val="400" w:hRule="atLeast"/>
        </w:trPr>
        <w:tc>
          <w:tcPr>
            <w:tcW w:w="5072" w:type="dxa"/>
          </w:tcPr>
          <w:p>
            <w:pPr>
              <w:pStyle w:val="TableParagraph"/>
              <w:spacing w:line="274" w:lineRule="exact"/>
              <w:ind w:left="102"/>
              <w:rPr>
                <w:sz w:val="24"/>
              </w:rPr>
            </w:pPr>
            <w:r>
              <w:rPr>
                <w:sz w:val="24"/>
              </w:rPr>
              <w:t>Member to Member Liability</w:t>
            </w:r>
          </w:p>
        </w:tc>
        <w:tc>
          <w:tcPr>
            <w:tcW w:w="2125" w:type="dxa"/>
          </w:tcPr>
          <w:p>
            <w:pPr>
              <w:pStyle w:val="TableParagraph"/>
              <w:spacing w:line="274" w:lineRule="exact"/>
              <w:ind w:right="1"/>
              <w:jc w:val="center"/>
              <w:rPr>
                <w:sz w:val="24"/>
              </w:rPr>
            </w:pPr>
            <w:r>
              <w:rPr>
                <w:w w:val="99"/>
                <w:sz w:val="24"/>
              </w:rPr>
              <w:t>6</w:t>
            </w:r>
          </w:p>
        </w:tc>
        <w:tc>
          <w:tcPr>
            <w:tcW w:w="2230" w:type="dxa"/>
          </w:tcPr>
          <w:p>
            <w:pPr>
              <w:pStyle w:val="TableParagraph"/>
              <w:spacing w:line="274" w:lineRule="exact"/>
              <w:ind w:left="441" w:right="444"/>
              <w:jc w:val="center"/>
              <w:rPr>
                <w:sz w:val="24"/>
              </w:rPr>
            </w:pPr>
            <w:r>
              <w:rPr>
                <w:sz w:val="24"/>
              </w:rPr>
              <w:t>5%</w:t>
            </w:r>
          </w:p>
        </w:tc>
      </w:tr>
      <w:tr>
        <w:trPr>
          <w:trHeight w:val="400" w:hRule="atLeast"/>
        </w:trPr>
        <w:tc>
          <w:tcPr>
            <w:tcW w:w="5072" w:type="dxa"/>
          </w:tcPr>
          <w:p>
            <w:pPr>
              <w:pStyle w:val="TableParagraph"/>
              <w:spacing w:line="274" w:lineRule="exact"/>
              <w:ind w:left="102"/>
              <w:rPr>
                <w:sz w:val="24"/>
              </w:rPr>
            </w:pPr>
            <w:r>
              <w:rPr>
                <w:sz w:val="24"/>
              </w:rPr>
              <w:t>Business Interruption</w:t>
            </w:r>
          </w:p>
        </w:tc>
        <w:tc>
          <w:tcPr>
            <w:tcW w:w="2125" w:type="dxa"/>
          </w:tcPr>
          <w:p>
            <w:pPr>
              <w:pStyle w:val="TableParagraph"/>
              <w:spacing w:line="274" w:lineRule="exact"/>
              <w:ind w:right="1"/>
              <w:jc w:val="center"/>
              <w:rPr>
                <w:sz w:val="24"/>
              </w:rPr>
            </w:pPr>
            <w:r>
              <w:rPr>
                <w:w w:val="99"/>
                <w:sz w:val="24"/>
              </w:rPr>
              <w:t>2</w:t>
            </w:r>
          </w:p>
        </w:tc>
        <w:tc>
          <w:tcPr>
            <w:tcW w:w="2230" w:type="dxa"/>
          </w:tcPr>
          <w:p>
            <w:pPr>
              <w:pStyle w:val="TableParagraph"/>
              <w:spacing w:line="274" w:lineRule="exact"/>
              <w:ind w:left="441" w:right="444"/>
              <w:jc w:val="center"/>
              <w:rPr>
                <w:sz w:val="24"/>
              </w:rPr>
            </w:pPr>
            <w:r>
              <w:rPr>
                <w:sz w:val="24"/>
              </w:rPr>
              <w:t>2%</w:t>
            </w:r>
          </w:p>
        </w:tc>
      </w:tr>
    </w:tbl>
    <w:p>
      <w:pPr>
        <w:pStyle w:val="BodyText"/>
        <w:rPr>
          <w:b/>
          <w:sz w:val="22"/>
        </w:rPr>
      </w:pPr>
    </w:p>
    <w:p>
      <w:pPr>
        <w:pStyle w:val="Heading3"/>
        <w:spacing w:before="160"/>
        <w:ind w:left="230"/>
        <w:rPr>
          <w:u w:val="none"/>
        </w:rPr>
      </w:pPr>
      <w:r>
        <w:rPr>
          <w:u w:val="none"/>
        </w:rPr>
        <w:t>Income Generation</w:t>
      </w:r>
    </w:p>
    <w:p>
      <w:pPr>
        <w:pStyle w:val="BodyText"/>
        <w:spacing w:line="360" w:lineRule="auto" w:before="136"/>
        <w:ind w:left="230" w:right="482"/>
      </w:pPr>
      <w:r>
        <w:rPr/>
        <w:t>In terms of generating an income for the ongoing maintenance and upkeep of the premises the majority of facilities obtain this from a mix of self-generated sources. Fundraising activities would be the most common method used with 69% of facilities carrying out such activities, followed by room rental charges (54%). Only 13 facilities replied that they apply for grant aid under ‘other’ sources of income described. For a full list of ‘other’ sources of income please refer to Appendix 10.</w:t>
      </w:r>
    </w:p>
    <w:p>
      <w:pPr>
        <w:pStyle w:val="BodyText"/>
        <w:spacing w:before="11"/>
        <w:rPr>
          <w:sz w:val="29"/>
        </w:rPr>
      </w:pPr>
    </w:p>
    <w:p>
      <w:pPr>
        <w:spacing w:before="0"/>
        <w:ind w:left="230" w:right="0" w:firstLine="0"/>
        <w:jc w:val="left"/>
        <w:rPr>
          <w:b/>
          <w:sz w:val="20"/>
        </w:rPr>
      </w:pPr>
      <w:r>
        <w:rPr/>
        <w:pict>
          <v:group style="position:absolute;margin-left:79.574997pt;margin-top:17.064886pt;width:406.5pt;height:230.25pt;mso-position-horizontal-relative:page;mso-position-vertical-relative:paragraph;z-index:3184;mso-wrap-distance-left:0;mso-wrap-distance-right:0" coordorigin="1591,341" coordsize="8130,4605">
            <v:line style="position:absolute" from="9096,3738" to="9518,3738" stroked="true" strokeweight=".72pt" strokecolor="#858585">
              <v:stroke dashstyle="solid"/>
            </v:line>
            <v:line style="position:absolute" from="7690,3738" to="8534,3738" stroked="true" strokeweight=".72pt" strokecolor="#858585">
              <v:stroke dashstyle="solid"/>
            </v:line>
            <v:line style="position:absolute" from="6286,3738" to="7128,3738" stroked="true" strokeweight=".72pt" strokecolor="#858585">
              <v:stroke dashstyle="solid"/>
            </v:line>
            <v:line style="position:absolute" from="4879,3738" to="5722,3738" stroked="true" strokeweight=".72pt" strokecolor="#858585">
              <v:stroke dashstyle="solid"/>
            </v:line>
            <v:line style="position:absolute" from="3473,3738" to="4315,3738" stroked="true" strokeweight=".72pt" strokecolor="#858585">
              <v:stroke dashstyle="solid"/>
            </v:line>
            <v:line style="position:absolute" from="2489,3738" to="2911,3738" stroked="true" strokeweight=".72pt" strokecolor="#858585">
              <v:stroke dashstyle="solid"/>
            </v:line>
            <v:line style="position:absolute" from="3473,3373" to="5722,3373" stroked="true" strokeweight=".72pt" strokecolor="#858585">
              <v:stroke dashstyle="solid"/>
            </v:line>
            <v:line style="position:absolute" from="2489,3373" to="2911,3373" stroked="true" strokeweight=".72pt" strokecolor="#858585">
              <v:stroke dashstyle="solid"/>
            </v:line>
            <v:line style="position:absolute" from="3473,3009" to="5722,3009" stroked="true" strokeweight=".72pt" strokecolor="#858585">
              <v:stroke dashstyle="solid"/>
            </v:line>
            <v:line style="position:absolute" from="2489,3009" to="2911,3009" stroked="true" strokeweight=".72pt" strokecolor="#858585">
              <v:stroke dashstyle="solid"/>
            </v:line>
            <v:line style="position:absolute" from="3473,2644" to="7128,2644" stroked="true" strokeweight=".72pt" strokecolor="#858585">
              <v:stroke dashstyle="solid"/>
            </v:line>
            <v:line style="position:absolute" from="2489,2644" to="2911,2644" stroked="true" strokeweight=".72pt" strokecolor="#858585">
              <v:stroke dashstyle="solid"/>
            </v:line>
            <v:line style="position:absolute" from="3473,2279" to="7128,2279" stroked="true" strokeweight=".72pt" strokecolor="#858585">
              <v:stroke dashstyle="solid"/>
            </v:line>
            <v:line style="position:absolute" from="2489,2279" to="2911,2279" stroked="true" strokeweight=".72pt" strokecolor="#858585">
              <v:stroke dashstyle="solid"/>
            </v:line>
            <v:rect style="position:absolute;left:2911;top:2142;width:562;height:1961" filled="true" fillcolor="#9bba58" stroked="false">
              <v:fill type="solid"/>
            </v:rect>
            <v:rect style="position:absolute;left:4315;top:3704;width:564;height:399" filled="true" fillcolor="#9bba58" stroked="false">
              <v:fill type="solid"/>
            </v:rect>
            <v:line style="position:absolute" from="6286,3373" to="7128,3373" stroked="true" strokeweight=".72pt" strokecolor="#858585">
              <v:stroke dashstyle="solid"/>
            </v:line>
            <v:line style="position:absolute" from="6286,3009" to="7128,3009" stroked="true" strokeweight=".72pt" strokecolor="#858585">
              <v:stroke dashstyle="solid"/>
            </v:line>
            <v:rect style="position:absolute;left:5721;top:2691;width:564;height:1412" filled="true" fillcolor="#9bba58" stroked="false">
              <v:fill type="solid"/>
            </v:rect>
            <v:line style="position:absolute" from="7690,3373" to="8534,3373" stroked="true" strokeweight=".72pt" strokecolor="#858585">
              <v:stroke dashstyle="solid"/>
            </v:line>
            <v:line style="position:absolute" from="7690,3009" to="9518,3009" stroked="true" strokeweight=".72pt" strokecolor="#858585">
              <v:stroke dashstyle="solid"/>
            </v:line>
            <v:line style="position:absolute" from="7690,2644" to="9518,2644" stroked="true" strokeweight=".72pt" strokecolor="#858585">
              <v:stroke dashstyle="solid"/>
            </v:line>
            <v:line style="position:absolute" from="7690,2279" to="9518,2279" stroked="true" strokeweight=".72pt" strokecolor="#858585">
              <v:stroke dashstyle="solid"/>
            </v:line>
            <v:line style="position:absolute" from="7690,1917" to="9518,1917" stroked="true" strokeweight=".72pt" strokecolor="#858585">
              <v:stroke dashstyle="solid"/>
            </v:line>
            <v:line style="position:absolute" from="2489,1917" to="7128,1917" stroked="true" strokeweight=".72pt" strokecolor="#858585">
              <v:stroke dashstyle="solid"/>
            </v:line>
            <v:line style="position:absolute" from="2489,1552" to="9518,1552" stroked="true" strokeweight=".72pt" strokecolor="#858585">
              <v:stroke dashstyle="solid"/>
            </v:line>
            <v:rect style="position:absolute;left:7128;top:1590;width:562;height:2513" filled="true" fillcolor="#9bba58" stroked="false">
              <v:fill type="solid"/>
            </v:rect>
            <v:line style="position:absolute" from="9096,3373" to="9518,3373" stroked="true" strokeweight=".72pt" strokecolor="#858585">
              <v:stroke dashstyle="solid"/>
            </v:line>
            <v:rect style="position:absolute;left:8534;top:3121;width:562;height:982" filled="true" fillcolor="#9bba58" stroked="false">
              <v:fill type="solid"/>
            </v:rect>
            <v:line style="position:absolute" from="2489,1187" to="9518,1187" stroked="true" strokeweight=".72pt" strokecolor="#858585">
              <v:stroke dashstyle="solid"/>
            </v:line>
            <v:line style="position:absolute" from="2489,4103" to="2489,1187" stroked="true" strokeweight=".72pt" strokecolor="#858585">
              <v:stroke dashstyle="solid"/>
            </v:line>
            <v:line style="position:absolute" from="2424,4103" to="2489,4103" stroked="true" strokeweight=".72pt" strokecolor="#858585">
              <v:stroke dashstyle="solid"/>
            </v:line>
            <v:line style="position:absolute" from="2424,3738" to="2489,3738" stroked="true" strokeweight=".72pt" strokecolor="#858585">
              <v:stroke dashstyle="solid"/>
            </v:line>
            <v:line style="position:absolute" from="2424,3373" to="2489,3373" stroked="true" strokeweight=".72pt" strokecolor="#858585">
              <v:stroke dashstyle="solid"/>
            </v:line>
            <v:line style="position:absolute" from="2424,3009" to="2489,3009" stroked="true" strokeweight=".72pt" strokecolor="#858585">
              <v:stroke dashstyle="solid"/>
            </v:line>
            <v:line style="position:absolute" from="2424,2644" to="2489,2644" stroked="true" strokeweight=".72pt" strokecolor="#858585">
              <v:stroke dashstyle="solid"/>
            </v:line>
            <v:line style="position:absolute" from="2424,2279" to="2489,2279" stroked="true" strokeweight=".72pt" strokecolor="#858585">
              <v:stroke dashstyle="solid"/>
            </v:line>
            <v:line style="position:absolute" from="2424,1917" to="2489,1917" stroked="true" strokeweight=".72pt" strokecolor="#858585">
              <v:stroke dashstyle="solid"/>
            </v:line>
            <v:line style="position:absolute" from="2424,1552" to="2489,1552" stroked="true" strokeweight=".72pt" strokecolor="#858585">
              <v:stroke dashstyle="solid"/>
            </v:line>
            <v:line style="position:absolute" from="2424,1187" to="2489,1187" stroked="true" strokeweight=".72pt" strokecolor="#858585">
              <v:stroke dashstyle="solid"/>
            </v:line>
            <v:line style="position:absolute" from="2489,4103" to="9518,4103" stroked="true" strokeweight=".72pt" strokecolor="#858585">
              <v:stroke dashstyle="solid"/>
            </v:line>
            <v:line style="position:absolute" from="2489,4103" to="2489,4165" stroked="true" strokeweight=".72pt" strokecolor="#858585">
              <v:stroke dashstyle="solid"/>
            </v:line>
            <v:line style="position:absolute" from="3895,4103" to="3895,4165" stroked="true" strokeweight=".72pt" strokecolor="#858585">
              <v:stroke dashstyle="solid"/>
            </v:line>
            <v:line style="position:absolute" from="5302,4103" to="5302,4165" stroked="true" strokeweight=".72pt" strokecolor="#858585">
              <v:stroke dashstyle="solid"/>
            </v:line>
            <v:line style="position:absolute" from="6706,4103" to="6706,4165" stroked="true" strokeweight=".72pt" strokecolor="#858585">
              <v:stroke dashstyle="solid"/>
            </v:line>
            <v:line style="position:absolute" from="8112,4103" to="8112,4165" stroked="true" strokeweight=".72pt" strokecolor="#858585">
              <v:stroke dashstyle="solid"/>
            </v:line>
            <v:line style="position:absolute" from="9518,4103" to="9518,4165" stroked="true" strokeweight=".72pt" strokecolor="#858585">
              <v:stroke dashstyle="solid"/>
            </v:line>
            <v:rect style="position:absolute;left:1599;top:348;width:8115;height:4590" filled="false" stroked="true" strokeweight=".75pt" strokecolor="#858585">
              <v:stroke dashstyle="solid"/>
            </v:rect>
            <v:shape style="position:absolute;left:3305;top:598;width:5025;height:281" type="#_x0000_t202" filled="false" stroked="false">
              <v:textbox inset="0,0,0,0">
                <w:txbxContent>
                  <w:p>
                    <w:pPr>
                      <w:spacing w:line="270" w:lineRule="exact" w:before="0"/>
                      <w:ind w:left="0" w:right="0" w:firstLine="0"/>
                      <w:jc w:val="left"/>
                      <w:rPr>
                        <w:b/>
                        <w:sz w:val="28"/>
                      </w:rPr>
                    </w:pPr>
                    <w:r>
                      <w:rPr>
                        <w:b/>
                        <w:spacing w:val="-3"/>
                        <w:w w:val="90"/>
                        <w:sz w:val="28"/>
                      </w:rPr>
                      <w:t>Types</w:t>
                    </w:r>
                    <w:r>
                      <w:rPr>
                        <w:b/>
                        <w:spacing w:val="-32"/>
                        <w:w w:val="90"/>
                        <w:sz w:val="28"/>
                      </w:rPr>
                      <w:t> </w:t>
                    </w:r>
                    <w:r>
                      <w:rPr>
                        <w:b/>
                        <w:w w:val="90"/>
                        <w:sz w:val="28"/>
                      </w:rPr>
                      <w:t>of</w:t>
                    </w:r>
                    <w:r>
                      <w:rPr>
                        <w:b/>
                        <w:spacing w:val="-31"/>
                        <w:w w:val="90"/>
                        <w:sz w:val="28"/>
                      </w:rPr>
                      <w:t> </w:t>
                    </w:r>
                    <w:r>
                      <w:rPr>
                        <w:b/>
                        <w:w w:val="90"/>
                        <w:sz w:val="28"/>
                      </w:rPr>
                      <w:t>income</w:t>
                    </w:r>
                    <w:r>
                      <w:rPr>
                        <w:b/>
                        <w:spacing w:val="-33"/>
                        <w:w w:val="90"/>
                        <w:sz w:val="28"/>
                      </w:rPr>
                      <w:t> </w:t>
                    </w:r>
                    <w:r>
                      <w:rPr>
                        <w:b/>
                        <w:w w:val="90"/>
                        <w:sz w:val="28"/>
                      </w:rPr>
                      <w:t>generated</w:t>
                    </w:r>
                    <w:r>
                      <w:rPr>
                        <w:b/>
                        <w:spacing w:val="-36"/>
                        <w:w w:val="90"/>
                        <w:sz w:val="28"/>
                      </w:rPr>
                      <w:t> </w:t>
                    </w:r>
                    <w:r>
                      <w:rPr>
                        <w:b/>
                        <w:w w:val="90"/>
                        <w:sz w:val="28"/>
                      </w:rPr>
                      <w:t>for</w:t>
                    </w:r>
                    <w:r>
                      <w:rPr>
                        <w:b/>
                        <w:spacing w:val="-31"/>
                        <w:w w:val="90"/>
                        <w:sz w:val="28"/>
                      </w:rPr>
                      <w:t> </w:t>
                    </w:r>
                    <w:r>
                      <w:rPr>
                        <w:b/>
                        <w:w w:val="90"/>
                        <w:sz w:val="28"/>
                      </w:rPr>
                      <w:t>the</w:t>
                    </w:r>
                    <w:r>
                      <w:rPr>
                        <w:b/>
                        <w:spacing w:val="-32"/>
                        <w:w w:val="90"/>
                        <w:sz w:val="28"/>
                      </w:rPr>
                      <w:t> </w:t>
                    </w:r>
                    <w:r>
                      <w:rPr>
                        <w:b/>
                        <w:w w:val="90"/>
                        <w:sz w:val="28"/>
                      </w:rPr>
                      <w:t>facilities</w:t>
                    </w:r>
                  </w:p>
                </w:txbxContent>
              </v:textbox>
              <w10:wrap type="none"/>
            </v:shape>
            <v:shape style="position:absolute;left:1803;top:1094;width:517;height:3116" type="#_x0000_t202" filled="false" stroked="false">
              <v:textbox inset="0,0,0,0">
                <w:txbxContent>
                  <w:p>
                    <w:pPr>
                      <w:spacing w:line="192" w:lineRule="exact" w:before="0"/>
                      <w:ind w:left="0" w:right="18" w:firstLine="0"/>
                      <w:jc w:val="center"/>
                      <w:rPr>
                        <w:sz w:val="20"/>
                      </w:rPr>
                    </w:pPr>
                    <w:r>
                      <w:rPr>
                        <w:w w:val="85"/>
                        <w:sz w:val="20"/>
                      </w:rPr>
                      <w:t>80.0%</w:t>
                    </w:r>
                  </w:p>
                  <w:p>
                    <w:pPr>
                      <w:spacing w:before="135"/>
                      <w:ind w:left="0" w:right="18" w:firstLine="0"/>
                      <w:jc w:val="center"/>
                      <w:rPr>
                        <w:sz w:val="20"/>
                      </w:rPr>
                    </w:pPr>
                    <w:r>
                      <w:rPr>
                        <w:w w:val="85"/>
                        <w:sz w:val="20"/>
                      </w:rPr>
                      <w:t>70.0%</w:t>
                    </w:r>
                  </w:p>
                  <w:p>
                    <w:pPr>
                      <w:spacing w:before="134"/>
                      <w:ind w:left="0" w:right="18" w:firstLine="0"/>
                      <w:jc w:val="center"/>
                      <w:rPr>
                        <w:sz w:val="20"/>
                      </w:rPr>
                    </w:pPr>
                    <w:r>
                      <w:rPr>
                        <w:w w:val="85"/>
                        <w:sz w:val="20"/>
                      </w:rPr>
                      <w:t>60.0%</w:t>
                    </w:r>
                  </w:p>
                  <w:p>
                    <w:pPr>
                      <w:spacing w:before="134"/>
                      <w:ind w:left="0" w:right="18" w:firstLine="0"/>
                      <w:jc w:val="center"/>
                      <w:rPr>
                        <w:sz w:val="20"/>
                      </w:rPr>
                    </w:pPr>
                    <w:r>
                      <w:rPr>
                        <w:w w:val="85"/>
                        <w:sz w:val="20"/>
                      </w:rPr>
                      <w:t>50.0%</w:t>
                    </w:r>
                  </w:p>
                  <w:p>
                    <w:pPr>
                      <w:spacing w:before="134"/>
                      <w:ind w:left="0" w:right="18" w:firstLine="0"/>
                      <w:jc w:val="center"/>
                      <w:rPr>
                        <w:sz w:val="20"/>
                      </w:rPr>
                    </w:pPr>
                    <w:r>
                      <w:rPr>
                        <w:w w:val="85"/>
                        <w:sz w:val="20"/>
                      </w:rPr>
                      <w:t>40.0%</w:t>
                    </w:r>
                  </w:p>
                  <w:p>
                    <w:pPr>
                      <w:spacing w:before="135"/>
                      <w:ind w:left="0" w:right="18" w:firstLine="0"/>
                      <w:jc w:val="center"/>
                      <w:rPr>
                        <w:sz w:val="20"/>
                      </w:rPr>
                    </w:pPr>
                    <w:r>
                      <w:rPr>
                        <w:w w:val="85"/>
                        <w:sz w:val="20"/>
                      </w:rPr>
                      <w:t>30.0%</w:t>
                    </w:r>
                  </w:p>
                  <w:p>
                    <w:pPr>
                      <w:spacing w:before="134"/>
                      <w:ind w:left="0" w:right="18" w:firstLine="0"/>
                      <w:jc w:val="center"/>
                      <w:rPr>
                        <w:sz w:val="20"/>
                      </w:rPr>
                    </w:pPr>
                    <w:r>
                      <w:rPr>
                        <w:w w:val="85"/>
                        <w:sz w:val="20"/>
                      </w:rPr>
                      <w:t>20.0%</w:t>
                    </w:r>
                  </w:p>
                  <w:p>
                    <w:pPr>
                      <w:spacing w:before="134"/>
                      <w:ind w:left="0" w:right="18" w:firstLine="0"/>
                      <w:jc w:val="center"/>
                      <w:rPr>
                        <w:sz w:val="20"/>
                      </w:rPr>
                    </w:pPr>
                    <w:r>
                      <w:rPr>
                        <w:w w:val="85"/>
                        <w:sz w:val="20"/>
                      </w:rPr>
                      <w:t>10.0%</w:t>
                    </w:r>
                  </w:p>
                  <w:p>
                    <w:pPr>
                      <w:spacing w:before="134"/>
                      <w:ind w:left="85" w:right="4" w:firstLine="0"/>
                      <w:jc w:val="center"/>
                      <w:rPr>
                        <w:sz w:val="20"/>
                      </w:rPr>
                    </w:pPr>
                    <w:r>
                      <w:rPr>
                        <w:w w:val="85"/>
                        <w:sz w:val="20"/>
                      </w:rPr>
                      <w:t>0.0%</w:t>
                    </w:r>
                  </w:p>
                </w:txbxContent>
              </v:textbox>
              <w10:wrap type="none"/>
            </v:shape>
            <v:shape style="position:absolute;left:2686;top:4270;width:3847;height:200" type="#_x0000_t202" filled="false" stroked="false">
              <v:textbox inset="0,0,0,0">
                <w:txbxContent>
                  <w:p>
                    <w:pPr>
                      <w:tabs>
                        <w:tab w:pos="1233" w:val="left" w:leader="none"/>
                        <w:tab w:pos="2802" w:val="left" w:leader="none"/>
                      </w:tabs>
                      <w:spacing w:line="192" w:lineRule="exact" w:before="0"/>
                      <w:ind w:left="0" w:right="0" w:firstLine="0"/>
                      <w:jc w:val="left"/>
                      <w:rPr>
                        <w:sz w:val="20"/>
                      </w:rPr>
                    </w:pPr>
                    <w:r>
                      <w:rPr>
                        <w:sz w:val="20"/>
                      </w:rPr>
                      <w:t>Room</w:t>
                    </w:r>
                    <w:r>
                      <w:rPr>
                        <w:spacing w:val="-33"/>
                        <w:sz w:val="20"/>
                      </w:rPr>
                      <w:t> </w:t>
                    </w:r>
                    <w:r>
                      <w:rPr>
                        <w:sz w:val="20"/>
                      </w:rPr>
                      <w:t>rental</w:t>
                      <w:tab/>
                    </w:r>
                    <w:r>
                      <w:rPr>
                        <w:w w:val="95"/>
                        <w:sz w:val="20"/>
                      </w:rPr>
                      <w:t>Catering</w:t>
                    </w:r>
                    <w:r>
                      <w:rPr>
                        <w:spacing w:val="-35"/>
                        <w:w w:val="95"/>
                        <w:sz w:val="20"/>
                      </w:rPr>
                      <w:t> </w:t>
                    </w:r>
                    <w:r>
                      <w:rPr>
                        <w:w w:val="95"/>
                        <w:sz w:val="20"/>
                      </w:rPr>
                      <w:t>charges</w:t>
                      <w:tab/>
                    </w:r>
                    <w:r>
                      <w:rPr>
                        <w:w w:val="90"/>
                        <w:sz w:val="20"/>
                      </w:rPr>
                      <w:t>Facilities</w:t>
                    </w:r>
                    <w:r>
                      <w:rPr>
                        <w:spacing w:val="-27"/>
                        <w:w w:val="90"/>
                        <w:sz w:val="20"/>
                      </w:rPr>
                      <w:t> </w:t>
                    </w:r>
                    <w:r>
                      <w:rPr>
                        <w:w w:val="90"/>
                        <w:sz w:val="20"/>
                      </w:rPr>
                      <w:t>use</w:t>
                    </w:r>
                  </w:p>
                </w:txbxContent>
              </v:textbox>
              <w10:wrap type="none"/>
            </v:shape>
            <v:shape style="position:absolute;left:6938;top:4270;width:2445;height:444" type="#_x0000_t202" filled="false" stroked="false">
              <v:textbox inset="0,0,0,0">
                <w:txbxContent>
                  <w:p>
                    <w:pPr>
                      <w:tabs>
                        <w:tab w:pos="1327" w:val="left" w:leader="none"/>
                      </w:tabs>
                      <w:spacing w:line="192" w:lineRule="exact" w:before="0"/>
                      <w:ind w:left="0" w:right="0" w:firstLine="0"/>
                      <w:jc w:val="left"/>
                      <w:rPr>
                        <w:sz w:val="20"/>
                      </w:rPr>
                    </w:pPr>
                    <w:r>
                      <w:rPr>
                        <w:w w:val="95"/>
                        <w:sz w:val="20"/>
                      </w:rPr>
                      <w:t>Fundraising</w:t>
                      <w:tab/>
                    </w:r>
                    <w:r>
                      <w:rPr>
                        <w:w w:val="90"/>
                        <w:sz w:val="20"/>
                      </w:rPr>
                      <w:t>Other</w:t>
                    </w:r>
                    <w:r>
                      <w:rPr>
                        <w:spacing w:val="1"/>
                        <w:w w:val="90"/>
                        <w:sz w:val="20"/>
                      </w:rPr>
                      <w:t> </w:t>
                    </w:r>
                    <w:r>
                      <w:rPr>
                        <w:w w:val="90"/>
                        <w:sz w:val="20"/>
                      </w:rPr>
                      <w:t>(please</w:t>
                    </w:r>
                  </w:p>
                  <w:p>
                    <w:pPr>
                      <w:tabs>
                        <w:tab w:pos="1564" w:val="left" w:leader="none"/>
                      </w:tabs>
                      <w:spacing w:before="15"/>
                      <w:ind w:left="112" w:right="0" w:firstLine="0"/>
                      <w:jc w:val="left"/>
                      <w:rPr>
                        <w:sz w:val="20"/>
                      </w:rPr>
                    </w:pPr>
                    <w:r>
                      <w:rPr>
                        <w:sz w:val="20"/>
                      </w:rPr>
                      <w:t>activities</w:t>
                      <w:tab/>
                      <w:t>specify)</w:t>
                    </w:r>
                  </w:p>
                </w:txbxContent>
              </v:textbox>
              <w10:wrap type="none"/>
            </v:shape>
            <w10:wrap type="topAndBottom"/>
          </v:group>
        </w:pict>
      </w:r>
      <w:r>
        <w:rPr>
          <w:b/>
          <w:sz w:val="20"/>
        </w:rPr>
        <w:t>Figure18: Types of income generated</w:t>
      </w:r>
    </w:p>
    <w:p>
      <w:pPr>
        <w:spacing w:after="0"/>
        <w:jc w:val="left"/>
        <w:rPr>
          <w:sz w:val="20"/>
        </w:rPr>
        <w:sectPr>
          <w:pgSz w:w="11910" w:h="17340"/>
          <w:pgMar w:header="759" w:footer="1014" w:top="940" w:bottom="1200" w:left="1340" w:right="900"/>
        </w:sectPr>
      </w:pPr>
    </w:p>
    <w:p>
      <w:pPr>
        <w:pStyle w:val="BodyText"/>
        <w:spacing w:before="7"/>
        <w:rPr>
          <w:b/>
          <w:sz w:val="15"/>
        </w:rPr>
      </w:pPr>
    </w:p>
    <w:p>
      <w:pPr>
        <w:pStyle w:val="Heading3"/>
        <w:spacing w:before="92"/>
        <w:rPr>
          <w:u w:val="none"/>
        </w:rPr>
      </w:pPr>
      <w:r>
        <w:rPr>
          <w:u w:val="none"/>
        </w:rPr>
        <w:t>Health &amp; Safety</w:t>
      </w:r>
    </w:p>
    <w:p>
      <w:pPr>
        <w:pStyle w:val="BodyText"/>
        <w:spacing w:line="360" w:lineRule="auto" w:before="136"/>
        <w:ind w:left="110" w:right="309"/>
      </w:pPr>
      <w:r>
        <w:rPr/>
        <w:t>Almost all of the facilities (80%) have an exit strategy in case of a fire. The majority of facilities had a Health &amp; Safety Policy (76%).</w:t>
      </w:r>
    </w:p>
    <w:p>
      <w:pPr>
        <w:pStyle w:val="BodyText"/>
        <w:spacing w:before="11"/>
        <w:rPr>
          <w:sz w:val="29"/>
        </w:rPr>
      </w:pPr>
    </w:p>
    <w:p>
      <w:pPr>
        <w:spacing w:before="0"/>
        <w:ind w:left="110" w:right="0" w:firstLine="0"/>
        <w:jc w:val="left"/>
        <w:rPr>
          <w:b/>
          <w:sz w:val="20"/>
        </w:rPr>
      </w:pPr>
      <w:r>
        <w:rPr/>
        <w:pict>
          <v:group style="position:absolute;margin-left:79.574997pt;margin-top:17.094873pt;width:432.75pt;height:255.75pt;mso-position-horizontal-relative:page;mso-position-vertical-relative:paragraph;z-index:3280;mso-wrap-distance-left:0;mso-wrap-distance-right:0" coordorigin="1591,342" coordsize="8655,5115">
            <v:line style="position:absolute" from="9581,4162" to="10032,4162" stroked="true" strokeweight=".72pt" strokecolor="#858585">
              <v:stroke dashstyle="solid"/>
            </v:line>
            <v:line style="position:absolute" from="8086,4162" to="8983,4162" stroked="true" strokeweight=".72pt" strokecolor="#858585">
              <v:stroke dashstyle="solid"/>
            </v:line>
            <v:line style="position:absolute" from="6588,4162" to="7486,4162" stroked="true" strokeweight=".72pt" strokecolor="#858585">
              <v:stroke dashstyle="solid"/>
            </v:line>
            <v:line style="position:absolute" from="5090,4162" to="5988,4162" stroked="true" strokeweight=".72pt" strokecolor="#858585">
              <v:stroke dashstyle="solid"/>
            </v:line>
            <v:line style="position:absolute" from="3593,4162" to="4493,4162" stroked="true" strokeweight=".72pt" strokecolor="#858585">
              <v:stroke dashstyle="solid"/>
            </v:line>
            <v:line style="position:absolute" from="2546,4162" to="2995,4162" stroked="true" strokeweight=".72pt" strokecolor="#858585">
              <v:stroke dashstyle="solid"/>
            </v:line>
            <v:line style="position:absolute" from="3593,3802" to="4493,3802" stroked="true" strokeweight=".72pt" strokecolor="#858585">
              <v:stroke dashstyle="solid"/>
            </v:line>
            <v:line style="position:absolute" from="2546,3802" to="2995,3802" stroked="true" strokeweight=".72pt" strokecolor="#858585">
              <v:stroke dashstyle="solid"/>
            </v:line>
            <v:line style="position:absolute" from="3593,3442" to="4493,3442" stroked="true" strokeweight=".72pt" strokecolor="#858585">
              <v:stroke dashstyle="solid"/>
            </v:line>
            <v:line style="position:absolute" from="2546,3442" to="2995,3442" stroked="true" strokeweight=".72pt" strokecolor="#858585">
              <v:stroke dashstyle="solid"/>
            </v:line>
            <v:line style="position:absolute" from="3593,3082" to="5988,3082" stroked="true" strokeweight=".72pt" strokecolor="#858585">
              <v:stroke dashstyle="solid"/>
            </v:line>
            <v:line style="position:absolute" from="2546,3082" to="2995,3082" stroked="true" strokeweight=".72pt" strokecolor="#858585">
              <v:stroke dashstyle="solid"/>
            </v:line>
            <v:line style="position:absolute" from="3593,2722" to="5988,2722" stroked="true" strokeweight=".72pt" strokecolor="#858585">
              <v:stroke dashstyle="solid"/>
            </v:line>
            <v:line style="position:absolute" from="2546,2722" to="2995,2722" stroked="true" strokeweight=".72pt" strokecolor="#858585">
              <v:stroke dashstyle="solid"/>
            </v:line>
            <v:line style="position:absolute" from="3593,2362" to="5988,2362" stroked="true" strokeweight=".72pt" strokecolor="#858585">
              <v:stroke dashstyle="solid"/>
            </v:line>
            <v:line style="position:absolute" from="2546,2362" to="2995,2362" stroked="true" strokeweight=".72pt" strokecolor="#858585">
              <v:stroke dashstyle="solid"/>
            </v:line>
            <v:line style="position:absolute" from="3593,2002" to="5988,2002" stroked="true" strokeweight=".72pt" strokecolor="#858585">
              <v:stroke dashstyle="solid"/>
            </v:line>
            <v:line style="position:absolute" from="2546,2002" to="2995,2002" stroked="true" strokeweight=".72pt" strokecolor="#858585">
              <v:stroke dashstyle="solid"/>
            </v:line>
            <v:rect style="position:absolute;left:2995;top:1773;width:598;height:2748" filled="true" fillcolor="#9bba58" stroked="false">
              <v:fill type="solid"/>
            </v:rect>
            <v:line style="position:absolute" from="5090,3802" to="5988,3802" stroked="true" strokeweight=".72pt" strokecolor="#858585">
              <v:stroke dashstyle="solid"/>
            </v:line>
            <v:line style="position:absolute" from="5090,3442" to="5988,3442" stroked="true" strokeweight=".72pt" strokecolor="#858585">
              <v:stroke dashstyle="solid"/>
            </v:line>
            <v:rect style="position:absolute;left:4492;top:3256;width:598;height:1265" filled="true" fillcolor="#9bba58" stroked="false">
              <v:fill type="solid"/>
            </v:rect>
            <v:line style="position:absolute" from="6588,3802" to="7486,3802" stroked="true" strokeweight=".72pt" strokecolor="#858585">
              <v:stroke dashstyle="solid"/>
            </v:line>
            <v:line style="position:absolute" from="6588,3442" to="7486,3442" stroked="true" strokeweight=".72pt" strokecolor="#858585">
              <v:stroke dashstyle="solid"/>
            </v:line>
            <v:line style="position:absolute" from="6588,3082" to="7486,3082" stroked="true" strokeweight=".72pt" strokecolor="#858585">
              <v:stroke dashstyle="solid"/>
            </v:line>
            <v:line style="position:absolute" from="6588,2722" to="7486,2722" stroked="true" strokeweight=".72pt" strokecolor="#858585">
              <v:stroke dashstyle="solid"/>
            </v:line>
            <v:line style="position:absolute" from="6588,2362" to="7486,2362" stroked="true" strokeweight=".72pt" strokecolor="#858585">
              <v:stroke dashstyle="solid"/>
            </v:line>
            <v:line style="position:absolute" from="6588,2002" to="8983,2002" stroked="true" strokeweight=".72pt" strokecolor="#858585">
              <v:stroke dashstyle="solid"/>
            </v:line>
            <v:rect style="position:absolute;left:5988;top:1960;width:600;height:2561" filled="true" fillcolor="#9bba58" stroked="false">
              <v:fill type="solid"/>
            </v:rect>
            <v:line style="position:absolute" from="8086,3802" to="8983,3802" stroked="true" strokeweight=".72pt" strokecolor="#858585">
              <v:stroke dashstyle="solid"/>
            </v:line>
            <v:line style="position:absolute" from="8086,3442" to="8983,3442" stroked="true" strokeweight=".72pt" strokecolor="#858585">
              <v:stroke dashstyle="solid"/>
            </v:line>
            <v:line style="position:absolute" from="8086,3082" to="8983,3082" stroked="true" strokeweight=".72pt" strokecolor="#858585">
              <v:stroke dashstyle="solid"/>
            </v:line>
            <v:line style="position:absolute" from="8086,2722" to="8983,2722" stroked="true" strokeweight=".72pt" strokecolor="#858585">
              <v:stroke dashstyle="solid"/>
            </v:line>
            <v:line style="position:absolute" from="8086,2362" to="8983,2362" stroked="true" strokeweight=".72pt" strokecolor="#858585">
              <v:stroke dashstyle="solid"/>
            </v:line>
            <v:rect style="position:absolute;left:7485;top:2152;width:600;height:2369" filled="true" fillcolor="#9bba58" stroked="false">
              <v:fill type="solid"/>
            </v:rect>
            <v:line style="position:absolute" from="9581,3802" to="10032,3802" stroked="true" strokeweight=".72pt" strokecolor="#858585">
              <v:stroke dashstyle="solid"/>
            </v:line>
            <v:line style="position:absolute" from="9581,3442" to="10032,3442" stroked="true" strokeweight=".72pt" strokecolor="#858585">
              <v:stroke dashstyle="solid"/>
            </v:line>
            <v:line style="position:absolute" from="9581,3082" to="10032,3082" stroked="true" strokeweight=".72pt" strokecolor="#858585">
              <v:stroke dashstyle="solid"/>
            </v:line>
            <v:line style="position:absolute" from="9581,2722" to="10032,2722" stroked="true" strokeweight=".72pt" strokecolor="#858585">
              <v:stroke dashstyle="solid"/>
            </v:line>
            <v:line style="position:absolute" from="9581,2362" to="10032,2362" stroked="true" strokeweight=".72pt" strokecolor="#858585">
              <v:stroke dashstyle="solid"/>
            </v:line>
            <v:line style="position:absolute" from="9581,2002" to="10032,2002" stroked="true" strokeweight=".72pt" strokecolor="#858585">
              <v:stroke dashstyle="solid"/>
            </v:line>
            <v:line style="position:absolute" from="2546,1642" to="10032,1642" stroked="true" strokeweight=".72pt" strokecolor="#858585">
              <v:stroke dashstyle="solid"/>
            </v:line>
            <v:rect style="position:absolute;left:8983;top:1648;width:598;height:2873" filled="true" fillcolor="#9bba58" stroked="false">
              <v:fill type="solid"/>
            </v:rect>
            <v:line style="position:absolute" from="2546,1282" to="10032,1282" stroked="true" strokeweight=".72pt" strokecolor="#858585">
              <v:stroke dashstyle="solid"/>
            </v:line>
            <v:line style="position:absolute" from="2546,4522" to="2546,1282" stroked="true" strokeweight=".72pt" strokecolor="#858585">
              <v:stroke dashstyle="solid"/>
            </v:line>
            <v:line style="position:absolute" from="2482,4522" to="2546,4522" stroked="true" strokeweight=".72pt" strokecolor="#858585">
              <v:stroke dashstyle="solid"/>
            </v:line>
            <v:line style="position:absolute" from="2482,4162" to="2546,4162" stroked="true" strokeweight=".72pt" strokecolor="#858585">
              <v:stroke dashstyle="solid"/>
            </v:line>
            <v:line style="position:absolute" from="2482,3802" to="2546,3802" stroked="true" strokeweight=".72pt" strokecolor="#858585">
              <v:stroke dashstyle="solid"/>
            </v:line>
            <v:line style="position:absolute" from="2482,3442" to="2546,3442" stroked="true" strokeweight=".72pt" strokecolor="#858585">
              <v:stroke dashstyle="solid"/>
            </v:line>
            <v:line style="position:absolute" from="2482,3082" to="2546,3082" stroked="true" strokeweight=".72pt" strokecolor="#858585">
              <v:stroke dashstyle="solid"/>
            </v:line>
            <v:line style="position:absolute" from="2482,2722" to="2546,2722" stroked="true" strokeweight=".72pt" strokecolor="#858585">
              <v:stroke dashstyle="solid"/>
            </v:line>
            <v:line style="position:absolute" from="2482,2362" to="2546,2362" stroked="true" strokeweight=".72pt" strokecolor="#858585">
              <v:stroke dashstyle="solid"/>
            </v:line>
            <v:line style="position:absolute" from="2482,2002" to="2546,2002" stroked="true" strokeweight=".72pt" strokecolor="#858585">
              <v:stroke dashstyle="solid"/>
            </v:line>
            <v:line style="position:absolute" from="2482,1642" to="2546,1642" stroked="true" strokeweight=".72pt" strokecolor="#858585">
              <v:stroke dashstyle="solid"/>
            </v:line>
            <v:line style="position:absolute" from="2482,1282" to="2546,1282" stroked="true" strokeweight=".72pt" strokecolor="#858585">
              <v:stroke dashstyle="solid"/>
            </v:line>
            <v:line style="position:absolute" from="2546,4522" to="10032,4522" stroked="true" strokeweight=".72pt" strokecolor="#858585">
              <v:stroke dashstyle="solid"/>
            </v:line>
            <v:line style="position:absolute" from="2546,4522" to="2546,4584" stroked="true" strokeweight=".72pt" strokecolor="#858585">
              <v:stroke dashstyle="solid"/>
            </v:line>
            <v:line style="position:absolute" from="4044,4522" to="4044,4584" stroked="true" strokeweight=".72pt" strokecolor="#858585">
              <v:stroke dashstyle="solid"/>
            </v:line>
            <v:line style="position:absolute" from="5539,4522" to="5539,4584" stroked="true" strokeweight=".72pt" strokecolor="#858585">
              <v:stroke dashstyle="solid"/>
            </v:line>
            <v:line style="position:absolute" from="7037,4522" to="7037,4584" stroked="true" strokeweight=".72pt" strokecolor="#858585">
              <v:stroke dashstyle="solid"/>
            </v:line>
            <v:line style="position:absolute" from="8534,4522" to="8534,4584" stroked="true" strokeweight=".72pt" strokecolor="#858585">
              <v:stroke dashstyle="solid"/>
            </v:line>
            <v:line style="position:absolute" from="10032,4522" to="10032,4584" stroked="true" strokeweight=".72pt" strokecolor="#858585">
              <v:stroke dashstyle="solid"/>
            </v:line>
            <v:rect style="position:absolute;left:1599;top:349;width:8640;height:5100" filled="false" stroked="true" strokeweight=".75pt" strokecolor="#858585">
              <v:stroke dashstyle="solid"/>
            </v:rect>
            <v:shape style="position:absolute;left:4267;top:675;width:3450;height:281" type="#_x0000_t202" filled="false" stroked="false">
              <v:textbox inset="0,0,0,0">
                <w:txbxContent>
                  <w:p>
                    <w:pPr>
                      <w:spacing w:line="270" w:lineRule="exact" w:before="0"/>
                      <w:ind w:left="0" w:right="0" w:firstLine="0"/>
                      <w:jc w:val="left"/>
                      <w:rPr>
                        <w:b/>
                        <w:sz w:val="28"/>
                      </w:rPr>
                    </w:pPr>
                    <w:r>
                      <w:rPr>
                        <w:b/>
                        <w:w w:val="85"/>
                        <w:sz w:val="28"/>
                      </w:rPr>
                      <w:t>Health and Safety Procedures</w:t>
                    </w:r>
                  </w:p>
                </w:txbxContent>
              </v:textbox>
              <w10:wrap type="none"/>
            </v:shape>
            <v:shape style="position:absolute;left:1862;top:1186;width:517;height:3440" type="#_x0000_t202" filled="false" stroked="false">
              <v:textbox inset="0,0,0,0">
                <w:txbxContent>
                  <w:p>
                    <w:pPr>
                      <w:spacing w:line="192" w:lineRule="exact" w:before="0"/>
                      <w:ind w:left="0" w:right="18" w:firstLine="0"/>
                      <w:jc w:val="center"/>
                      <w:rPr>
                        <w:sz w:val="20"/>
                      </w:rPr>
                    </w:pPr>
                    <w:r>
                      <w:rPr>
                        <w:w w:val="85"/>
                        <w:sz w:val="20"/>
                      </w:rPr>
                      <w:t>90.0%</w:t>
                    </w:r>
                  </w:p>
                  <w:p>
                    <w:pPr>
                      <w:spacing w:before="130"/>
                      <w:ind w:left="0" w:right="18" w:firstLine="0"/>
                      <w:jc w:val="center"/>
                      <w:rPr>
                        <w:sz w:val="20"/>
                      </w:rPr>
                    </w:pPr>
                    <w:r>
                      <w:rPr>
                        <w:w w:val="85"/>
                        <w:sz w:val="20"/>
                      </w:rPr>
                      <w:t>80.0%</w:t>
                    </w:r>
                  </w:p>
                  <w:p>
                    <w:pPr>
                      <w:spacing w:before="130"/>
                      <w:ind w:left="0" w:right="18" w:firstLine="0"/>
                      <w:jc w:val="center"/>
                      <w:rPr>
                        <w:sz w:val="20"/>
                      </w:rPr>
                    </w:pPr>
                    <w:r>
                      <w:rPr>
                        <w:w w:val="85"/>
                        <w:sz w:val="20"/>
                      </w:rPr>
                      <w:t>70.0%</w:t>
                    </w:r>
                  </w:p>
                  <w:p>
                    <w:pPr>
                      <w:spacing w:before="129"/>
                      <w:ind w:left="0" w:right="18" w:firstLine="0"/>
                      <w:jc w:val="center"/>
                      <w:rPr>
                        <w:sz w:val="20"/>
                      </w:rPr>
                    </w:pPr>
                    <w:r>
                      <w:rPr>
                        <w:w w:val="85"/>
                        <w:sz w:val="20"/>
                      </w:rPr>
                      <w:t>60.0%</w:t>
                    </w:r>
                  </w:p>
                  <w:p>
                    <w:pPr>
                      <w:spacing w:before="129"/>
                      <w:ind w:left="0" w:right="18" w:firstLine="0"/>
                      <w:jc w:val="center"/>
                      <w:rPr>
                        <w:sz w:val="20"/>
                      </w:rPr>
                    </w:pPr>
                    <w:r>
                      <w:rPr>
                        <w:w w:val="85"/>
                        <w:sz w:val="20"/>
                      </w:rPr>
                      <w:t>50.0%</w:t>
                    </w:r>
                  </w:p>
                  <w:p>
                    <w:pPr>
                      <w:spacing w:before="129"/>
                      <w:ind w:left="0" w:right="18" w:firstLine="0"/>
                      <w:jc w:val="center"/>
                      <w:rPr>
                        <w:sz w:val="20"/>
                      </w:rPr>
                    </w:pPr>
                    <w:r>
                      <w:rPr>
                        <w:w w:val="85"/>
                        <w:sz w:val="20"/>
                      </w:rPr>
                      <w:t>40.0%</w:t>
                    </w:r>
                  </w:p>
                  <w:p>
                    <w:pPr>
                      <w:spacing w:before="129"/>
                      <w:ind w:left="0" w:right="18" w:firstLine="0"/>
                      <w:jc w:val="center"/>
                      <w:rPr>
                        <w:sz w:val="20"/>
                      </w:rPr>
                    </w:pPr>
                    <w:r>
                      <w:rPr>
                        <w:w w:val="85"/>
                        <w:sz w:val="20"/>
                      </w:rPr>
                      <w:t>30.0%</w:t>
                    </w:r>
                  </w:p>
                  <w:p>
                    <w:pPr>
                      <w:spacing w:before="129"/>
                      <w:ind w:left="0" w:right="18" w:firstLine="0"/>
                      <w:jc w:val="center"/>
                      <w:rPr>
                        <w:sz w:val="20"/>
                      </w:rPr>
                    </w:pPr>
                    <w:r>
                      <w:rPr>
                        <w:w w:val="85"/>
                        <w:sz w:val="20"/>
                      </w:rPr>
                      <w:t>20.0%</w:t>
                    </w:r>
                  </w:p>
                  <w:p>
                    <w:pPr>
                      <w:spacing w:before="129"/>
                      <w:ind w:left="0" w:right="18" w:firstLine="0"/>
                      <w:jc w:val="center"/>
                      <w:rPr>
                        <w:sz w:val="20"/>
                      </w:rPr>
                    </w:pPr>
                    <w:r>
                      <w:rPr>
                        <w:w w:val="85"/>
                        <w:sz w:val="20"/>
                      </w:rPr>
                      <w:t>10.0%</w:t>
                    </w:r>
                  </w:p>
                  <w:p>
                    <w:pPr>
                      <w:spacing w:before="129"/>
                      <w:ind w:left="85" w:right="4" w:firstLine="0"/>
                      <w:jc w:val="center"/>
                      <w:rPr>
                        <w:sz w:val="20"/>
                      </w:rPr>
                    </w:pPr>
                    <w:r>
                      <w:rPr>
                        <w:w w:val="85"/>
                        <w:sz w:val="20"/>
                      </w:rPr>
                      <w:t>0.0%</w:t>
                    </w:r>
                  </w:p>
                </w:txbxContent>
              </v:textbox>
              <w10:wrap type="none"/>
            </v:shape>
            <v:shape style="position:absolute;left:2659;top:4687;width:7244;height:444" type="#_x0000_t202" filled="false" stroked="false">
              <v:textbox inset="0,0,0,0">
                <w:txbxContent>
                  <w:p>
                    <w:pPr>
                      <w:tabs>
                        <w:tab w:pos="1475" w:val="left" w:leader="none"/>
                        <w:tab w:pos="3033" w:val="left" w:leader="none"/>
                        <w:tab w:pos="4436" w:val="left" w:leader="none"/>
                        <w:tab w:pos="6023" w:val="left" w:leader="none"/>
                      </w:tabs>
                      <w:spacing w:line="192" w:lineRule="exact" w:before="0"/>
                      <w:ind w:left="396" w:right="0" w:hanging="396"/>
                      <w:jc w:val="left"/>
                      <w:rPr>
                        <w:sz w:val="20"/>
                      </w:rPr>
                    </w:pPr>
                    <w:r>
                      <w:rPr>
                        <w:sz w:val="20"/>
                      </w:rPr>
                      <w:t>Health</w:t>
                    </w:r>
                    <w:r>
                      <w:rPr>
                        <w:spacing w:val="-35"/>
                        <w:sz w:val="20"/>
                      </w:rPr>
                      <w:t> </w:t>
                    </w:r>
                    <w:r>
                      <w:rPr>
                        <w:sz w:val="20"/>
                      </w:rPr>
                      <w:t>&amp;</w:t>
                    </w:r>
                    <w:r>
                      <w:rPr>
                        <w:spacing w:val="-34"/>
                        <w:sz w:val="20"/>
                      </w:rPr>
                      <w:t> </w:t>
                    </w:r>
                    <w:r>
                      <w:rPr>
                        <w:sz w:val="20"/>
                      </w:rPr>
                      <w:t>Safety</w:t>
                      <w:tab/>
                    </w:r>
                    <w:r>
                      <w:rPr>
                        <w:w w:val="95"/>
                        <w:sz w:val="20"/>
                      </w:rPr>
                      <w:t>Designated</w:t>
                    </w:r>
                    <w:r>
                      <w:rPr>
                        <w:spacing w:val="-35"/>
                        <w:w w:val="95"/>
                        <w:sz w:val="20"/>
                      </w:rPr>
                      <w:t> </w:t>
                    </w:r>
                    <w:r>
                      <w:rPr>
                        <w:w w:val="95"/>
                        <w:sz w:val="20"/>
                      </w:rPr>
                      <w:t>H&amp;S</w:t>
                      <w:tab/>
                    </w:r>
                    <w:r>
                      <w:rPr>
                        <w:sz w:val="20"/>
                      </w:rPr>
                      <w:t>Fire</w:t>
                    </w:r>
                    <w:r>
                      <w:rPr>
                        <w:spacing w:val="-42"/>
                        <w:sz w:val="20"/>
                      </w:rPr>
                      <w:t> </w:t>
                    </w:r>
                    <w:r>
                      <w:rPr>
                        <w:sz w:val="20"/>
                      </w:rPr>
                      <w:t>Certificate</w:t>
                      <w:tab/>
                    </w:r>
                    <w:r>
                      <w:rPr>
                        <w:w w:val="95"/>
                        <w:sz w:val="20"/>
                      </w:rPr>
                      <w:t>Fire</w:t>
                    </w:r>
                    <w:r>
                      <w:rPr>
                        <w:spacing w:val="-30"/>
                        <w:w w:val="95"/>
                        <w:sz w:val="20"/>
                      </w:rPr>
                      <w:t> </w:t>
                    </w:r>
                    <w:r>
                      <w:rPr>
                        <w:w w:val="95"/>
                        <w:sz w:val="20"/>
                      </w:rPr>
                      <w:t>Safety</w:t>
                    </w:r>
                    <w:r>
                      <w:rPr>
                        <w:spacing w:val="-29"/>
                        <w:w w:val="95"/>
                        <w:sz w:val="20"/>
                      </w:rPr>
                      <w:t> </w:t>
                    </w:r>
                    <w:r>
                      <w:rPr>
                        <w:w w:val="95"/>
                        <w:sz w:val="20"/>
                      </w:rPr>
                      <w:t>Policy</w:t>
                      <w:tab/>
                      <w:t>Exit</w:t>
                    </w:r>
                    <w:r>
                      <w:rPr>
                        <w:spacing w:val="-28"/>
                        <w:w w:val="95"/>
                        <w:sz w:val="20"/>
                      </w:rPr>
                      <w:t> </w:t>
                    </w:r>
                    <w:r>
                      <w:rPr>
                        <w:w w:val="95"/>
                        <w:sz w:val="20"/>
                      </w:rPr>
                      <w:t>strategy</w:t>
                    </w:r>
                    <w:r>
                      <w:rPr>
                        <w:spacing w:val="-27"/>
                        <w:w w:val="95"/>
                        <w:sz w:val="20"/>
                      </w:rPr>
                      <w:t> </w:t>
                    </w:r>
                    <w:r>
                      <w:rPr>
                        <w:w w:val="95"/>
                        <w:sz w:val="20"/>
                      </w:rPr>
                      <w:t>in</w:t>
                    </w:r>
                  </w:p>
                  <w:p>
                    <w:pPr>
                      <w:tabs>
                        <w:tab w:pos="1855" w:val="left" w:leader="none"/>
                        <w:tab w:pos="6020" w:val="left" w:leader="none"/>
                      </w:tabs>
                      <w:spacing w:before="15"/>
                      <w:ind w:left="396" w:right="0" w:firstLine="0"/>
                      <w:jc w:val="left"/>
                      <w:rPr>
                        <w:sz w:val="20"/>
                      </w:rPr>
                    </w:pPr>
                    <w:r>
                      <w:rPr>
                        <w:sz w:val="20"/>
                      </w:rPr>
                      <w:t>Policy</w:t>
                      <w:tab/>
                      <w:t>Officer</w:t>
                      <w:tab/>
                      <w:t>the</w:t>
                    </w:r>
                    <w:r>
                      <w:rPr>
                        <w:spacing w:val="-40"/>
                        <w:sz w:val="20"/>
                      </w:rPr>
                      <w:t> </w:t>
                    </w:r>
                    <w:r>
                      <w:rPr>
                        <w:sz w:val="20"/>
                      </w:rPr>
                      <w:t>case</w:t>
                    </w:r>
                    <w:r>
                      <w:rPr>
                        <w:spacing w:val="-38"/>
                        <w:sz w:val="20"/>
                      </w:rPr>
                      <w:t> </w:t>
                    </w:r>
                    <w:r>
                      <w:rPr>
                        <w:sz w:val="20"/>
                      </w:rPr>
                      <w:t>of</w:t>
                    </w:r>
                    <w:r>
                      <w:rPr>
                        <w:spacing w:val="-39"/>
                        <w:sz w:val="20"/>
                      </w:rPr>
                      <w:t> </w:t>
                    </w:r>
                    <w:r>
                      <w:rPr>
                        <w:sz w:val="20"/>
                      </w:rPr>
                      <w:t>fire</w:t>
                    </w:r>
                  </w:p>
                </w:txbxContent>
              </v:textbox>
              <w10:wrap type="none"/>
            </v:shape>
            <w10:wrap type="topAndBottom"/>
          </v:group>
        </w:pict>
      </w:r>
      <w:r>
        <w:rPr>
          <w:b/>
          <w:sz w:val="20"/>
        </w:rPr>
        <w:t>Figure 19: Health &amp; Safety Procedures</w:t>
      </w:r>
    </w:p>
    <w:p>
      <w:pPr>
        <w:pStyle w:val="BodyText"/>
        <w:rPr>
          <w:b/>
          <w:sz w:val="22"/>
        </w:rPr>
      </w:pPr>
    </w:p>
    <w:p>
      <w:pPr>
        <w:pStyle w:val="BodyText"/>
        <w:spacing w:before="10"/>
        <w:rPr>
          <w:b/>
          <w:sz w:val="22"/>
        </w:rPr>
      </w:pPr>
    </w:p>
    <w:p>
      <w:pPr>
        <w:pStyle w:val="BodyText"/>
        <w:spacing w:line="360" w:lineRule="auto"/>
        <w:ind w:left="110" w:right="1202"/>
      </w:pPr>
      <w:r>
        <w:rPr/>
        <w:t>Ninety or 74% of the facilities said they would be interested in participating in Community Development training if it were offered locally.</w:t>
      </w:r>
    </w:p>
    <w:p>
      <w:pPr>
        <w:pStyle w:val="BodyText"/>
        <w:spacing w:before="3"/>
        <w:rPr>
          <w:sz w:val="28"/>
        </w:rPr>
      </w:pPr>
    </w:p>
    <w:p>
      <w:pPr>
        <w:pStyle w:val="Heading3"/>
        <w:numPr>
          <w:ilvl w:val="1"/>
          <w:numId w:val="7"/>
        </w:numPr>
        <w:tabs>
          <w:tab w:pos="829" w:val="left" w:leader="none"/>
          <w:tab w:pos="830" w:val="left" w:leader="none"/>
          <w:tab w:pos="9349" w:val="left" w:leader="none"/>
        </w:tabs>
        <w:spacing w:line="240" w:lineRule="auto" w:before="93" w:after="0"/>
        <w:ind w:left="830" w:right="0" w:hanging="720"/>
        <w:jc w:val="left"/>
        <w:rPr>
          <w:u w:val="none"/>
        </w:rPr>
      </w:pPr>
      <w:r>
        <w:rPr>
          <w:shd w:fill="C5D9F0" w:color="auto" w:val="clear"/>
          <w:u w:val="none"/>
        </w:rPr>
        <w:t>Size</w:t>
      </w:r>
      <w:r>
        <w:rPr>
          <w:shd w:fill="FFFFFF" w:color="auto" w:val="clear"/>
          <w:u w:val="none"/>
        </w:rPr>
        <w:t> </w:t>
      </w:r>
      <w:r>
        <w:rPr>
          <w:shd w:fill="C5D9F0" w:color="auto" w:val="clear"/>
          <w:u w:val="none"/>
        </w:rPr>
        <w:t>&amp;</w:t>
      </w:r>
      <w:r>
        <w:rPr>
          <w:shd w:fill="FFFFFF" w:color="auto" w:val="clear"/>
          <w:u w:val="none"/>
        </w:rPr>
        <w:t> </w:t>
      </w:r>
      <w:r>
        <w:rPr>
          <w:shd w:fill="C5D9F0" w:color="auto" w:val="clear"/>
          <w:u w:val="none"/>
        </w:rPr>
        <w:t>Condition</w:t>
      </w:r>
      <w:r>
        <w:rPr>
          <w:shd w:fill="FFFFFF" w:color="auto" w:val="clear"/>
          <w:u w:val="none"/>
        </w:rPr>
        <w:t> </w:t>
      </w:r>
      <w:r>
        <w:rPr>
          <w:shd w:fill="C5D9F0" w:color="auto" w:val="clear"/>
          <w:u w:val="none"/>
        </w:rPr>
        <w:t>of</w:t>
      </w:r>
      <w:r>
        <w:rPr>
          <w:spacing w:val="-7"/>
          <w:shd w:fill="FFFFFF" w:color="auto" w:val="clear"/>
          <w:u w:val="none"/>
        </w:rPr>
        <w:t> </w:t>
      </w:r>
      <w:r>
        <w:rPr>
          <w:shd w:fill="C5D9F0" w:color="auto" w:val="clear"/>
          <w:u w:val="none"/>
        </w:rPr>
        <w:t>Facilities</w:t>
        <w:tab/>
      </w:r>
    </w:p>
    <w:p>
      <w:pPr>
        <w:pStyle w:val="BodyText"/>
        <w:rPr>
          <w:b/>
          <w:sz w:val="26"/>
        </w:rPr>
      </w:pPr>
    </w:p>
    <w:p>
      <w:pPr>
        <w:pStyle w:val="BodyText"/>
        <w:rPr>
          <w:b/>
          <w:sz w:val="22"/>
        </w:rPr>
      </w:pPr>
    </w:p>
    <w:p>
      <w:pPr>
        <w:pStyle w:val="BodyText"/>
        <w:spacing w:line="360" w:lineRule="auto"/>
        <w:ind w:left="110" w:right="174"/>
      </w:pPr>
      <w:r>
        <w:rPr/>
        <w:t>This section of the survey sought to obtain information on the condition of the facilities, if they had any plans to develop further or refurbish and gain a rough estimate as to their capacity.</w:t>
      </w:r>
    </w:p>
    <w:p>
      <w:pPr>
        <w:pStyle w:val="BodyText"/>
        <w:spacing w:before="3"/>
        <w:rPr>
          <w:sz w:val="36"/>
        </w:rPr>
      </w:pPr>
    </w:p>
    <w:p>
      <w:pPr>
        <w:pStyle w:val="BodyText"/>
        <w:spacing w:line="360" w:lineRule="auto" w:before="1"/>
        <w:ind w:left="110" w:right="228"/>
      </w:pPr>
      <w:r>
        <w:rPr/>
        <w:t>The majority of facilities have a kitchen (85%). Only 11% have a computer suite available for members of the public to use for training purposes. For a listing of ‘Other’ rooms available within the facilities please see Appendix 11.</w:t>
      </w:r>
    </w:p>
    <w:p>
      <w:pPr>
        <w:spacing w:after="0" w:line="360" w:lineRule="auto"/>
        <w:sectPr>
          <w:pgSz w:w="11910" w:h="17340"/>
          <w:pgMar w:header="759" w:footer="1014" w:top="940" w:bottom="1200" w:left="1460" w:right="980"/>
        </w:sectPr>
      </w:pPr>
    </w:p>
    <w:p>
      <w:pPr>
        <w:pStyle w:val="BodyText"/>
        <w:spacing w:before="3"/>
        <w:rPr>
          <w:sz w:val="15"/>
        </w:rPr>
      </w:pPr>
    </w:p>
    <w:p>
      <w:pPr>
        <w:spacing w:before="93"/>
        <w:ind w:left="110" w:right="0" w:firstLine="0"/>
        <w:jc w:val="left"/>
        <w:rPr>
          <w:b/>
          <w:sz w:val="20"/>
        </w:rPr>
      </w:pPr>
      <w:r>
        <w:rPr/>
        <w:pict>
          <v:group style="position:absolute;margin-left:79.574997pt;margin-top:21.7349pt;width:401.25pt;height:233.25pt;mso-position-horizontal-relative:page;mso-position-vertical-relative:paragraph;z-index:3472;mso-wrap-distance-left:0;mso-wrap-distance-right:0" coordorigin="1591,435" coordsize="8025,4665">
            <v:line style="position:absolute" from="9005,3948" to="9415,3948" stroked="true" strokeweight=".72pt" strokecolor="#858585">
              <v:stroke dashstyle="solid"/>
            </v:line>
            <v:line style="position:absolute" from="7637,3948" to="8458,3948" stroked="true" strokeweight=".72pt" strokecolor="#858585">
              <v:stroke dashstyle="solid"/>
            </v:line>
            <v:line style="position:absolute" from="6269,3948" to="7090,3948" stroked="true" strokeweight=".72pt" strokecolor="#858585">
              <v:stroke dashstyle="solid"/>
            </v:line>
            <v:line style="position:absolute" from="4901,3948" to="5722,3948" stroked="true" strokeweight=".72pt" strokecolor="#858585">
              <v:stroke dashstyle="solid"/>
            </v:line>
            <v:line style="position:absolute" from="3533,3948" to="4354,3948" stroked="true" strokeweight=".72pt" strokecolor="#858585">
              <v:stroke dashstyle="solid"/>
            </v:line>
            <v:line style="position:absolute" from="2575,3948" to="2986,3948" stroked="true" strokeweight=".72pt" strokecolor="#858585">
              <v:stroke dashstyle="solid"/>
            </v:line>
            <v:rect style="position:absolute;left:2985;top:3931;width:548;height:312" filled="true" fillcolor="#9bba58" stroked="false">
              <v:fill type="solid"/>
            </v:rect>
            <v:line style="position:absolute" from="4901,3653" to="5722,3653" stroked="true" strokeweight=".72pt" strokecolor="#858585">
              <v:stroke dashstyle="solid"/>
            </v:line>
            <v:line style="position:absolute" from="2575,3653" to="4354,3653" stroked="true" strokeweight=".72pt" strokecolor="#858585">
              <v:stroke dashstyle="solid"/>
            </v:line>
            <v:line style="position:absolute" from="4901,3357" to="5722,3357" stroked="true" strokeweight=".72pt" strokecolor="#858585">
              <v:stroke dashstyle="solid"/>
            </v:line>
            <v:line style="position:absolute" from="2575,3357" to="4354,3357" stroked="true" strokeweight=".72pt" strokecolor="#858585">
              <v:stroke dashstyle="solid"/>
            </v:line>
            <v:line style="position:absolute" from="4901,3062" to="5722,3062" stroked="true" strokeweight=".72pt" strokecolor="#858585">
              <v:stroke dashstyle="solid"/>
            </v:line>
            <v:line style="position:absolute" from="2575,3062" to="4354,3062" stroked="true" strokeweight=".72pt" strokecolor="#858585">
              <v:stroke dashstyle="solid"/>
            </v:line>
            <v:line style="position:absolute" from="4901,2767" to="5722,2767" stroked="true" strokeweight=".72pt" strokecolor="#858585">
              <v:stroke dashstyle="solid"/>
            </v:line>
            <v:line style="position:absolute" from="2575,2767" to="4354,2767" stroked="true" strokeweight=".72pt" strokecolor="#858585">
              <v:stroke dashstyle="solid"/>
            </v:line>
            <v:line style="position:absolute" from="4901,2472" to="5722,2472" stroked="true" strokeweight=".72pt" strokecolor="#858585">
              <v:stroke dashstyle="solid"/>
            </v:line>
            <v:line style="position:absolute" from="2575,2472" to="4354,2472" stroked="true" strokeweight=".72pt" strokecolor="#858585">
              <v:stroke dashstyle="solid"/>
            </v:line>
            <v:line style="position:absolute" from="4901,2177" to="9415,2177" stroked="true" strokeweight=".72pt" strokecolor="#858585">
              <v:stroke dashstyle="solid"/>
            </v:line>
            <v:line style="position:absolute" from="2575,2177" to="4354,2177" stroked="true" strokeweight=".72pt" strokecolor="#858585">
              <v:stroke dashstyle="solid"/>
            </v:line>
            <v:line style="position:absolute" from="4901,1879" to="9415,1879" stroked="true" strokeweight=".72pt" strokecolor="#858585">
              <v:stroke dashstyle="solid"/>
            </v:line>
            <v:line style="position:absolute" from="2575,1879" to="4354,1879" stroked="true" strokeweight=".72pt" strokecolor="#858585">
              <v:stroke dashstyle="solid"/>
            </v:line>
            <v:rect style="position:absolute;left:4353;top:1708;width:548;height:2535" filled="true" fillcolor="#9bba58" stroked="false">
              <v:fill type="solid"/>
            </v:rect>
            <v:line style="position:absolute" from="6269,3653" to="7090,3653" stroked="true" strokeweight=".72pt" strokecolor="#858585">
              <v:stroke dashstyle="solid"/>
            </v:line>
            <v:line style="position:absolute" from="6269,3357" to="7090,3357" stroked="true" strokeweight=".72pt" strokecolor="#858585">
              <v:stroke dashstyle="solid"/>
            </v:line>
            <v:line style="position:absolute" from="6269,3062" to="8458,3062" stroked="true" strokeweight=".72pt" strokecolor="#858585">
              <v:stroke dashstyle="solid"/>
            </v:line>
            <v:line style="position:absolute" from="6269,2767" to="8458,2767" stroked="true" strokeweight=".72pt" strokecolor="#858585">
              <v:stroke dashstyle="solid"/>
            </v:line>
            <v:line style="position:absolute" from="6269,2472" to="9415,2472" stroked="true" strokeweight=".72pt" strokecolor="#858585">
              <v:stroke dashstyle="solid"/>
            </v:line>
            <v:rect style="position:absolute;left:5721;top:2361;width:548;height:1882" filled="true" fillcolor="#9bba58" stroked="false">
              <v:fill type="solid"/>
            </v:rect>
            <v:line style="position:absolute" from="7637,3653" to="8458,3653" stroked="true" strokeweight=".72pt" strokecolor="#858585">
              <v:stroke dashstyle="solid"/>
            </v:line>
            <v:line style="position:absolute" from="7637,3357" to="8458,3357" stroked="true" strokeweight=".72pt" strokecolor="#858585">
              <v:stroke dashstyle="solid"/>
            </v:line>
            <v:rect style="position:absolute;left:7089;top:3278;width:548;height:965" filled="true" fillcolor="#9bba58" stroked="false">
              <v:fill type="solid"/>
            </v:rect>
            <v:line style="position:absolute" from="9005,3653" to="9415,3653" stroked="true" strokeweight=".72pt" strokecolor="#858585">
              <v:stroke dashstyle="solid"/>
            </v:line>
            <v:line style="position:absolute" from="9005,3357" to="9415,3357" stroked="true" strokeweight=".72pt" strokecolor="#858585">
              <v:stroke dashstyle="solid"/>
            </v:line>
            <v:line style="position:absolute" from="9005,3062" to="9415,3062" stroked="true" strokeweight=".72pt" strokecolor="#858585">
              <v:stroke dashstyle="solid"/>
            </v:line>
            <v:line style="position:absolute" from="9005,2767" to="9415,2767" stroked="true" strokeweight=".72pt" strokecolor="#858585">
              <v:stroke dashstyle="solid"/>
            </v:line>
            <v:rect style="position:absolute;left:8457;top:2754;width:548;height:1488" filled="true" fillcolor="#9bba58" stroked="false">
              <v:fill type="solid"/>
            </v:rect>
            <v:line style="position:absolute" from="2575,1584" to="9415,1584" stroked="true" strokeweight=".72pt" strokecolor="#858585">
              <v:stroke dashstyle="solid"/>
            </v:line>
            <v:line style="position:absolute" from="2575,1289" to="9415,1289" stroked="true" strokeweight=".72pt" strokecolor="#858585">
              <v:stroke dashstyle="solid"/>
            </v:line>
            <v:line style="position:absolute" from="2575,4243" to="2575,1289" stroked="true" strokeweight=".72pt" strokecolor="#858585">
              <v:stroke dashstyle="solid"/>
            </v:line>
            <v:line style="position:absolute" from="2510,4243" to="2575,4243" stroked="true" strokeweight=".72pt" strokecolor="#858585">
              <v:stroke dashstyle="solid"/>
            </v:line>
            <v:line style="position:absolute" from="2510,3948" to="2575,3948" stroked="true" strokeweight=".72pt" strokecolor="#858585">
              <v:stroke dashstyle="solid"/>
            </v:line>
            <v:line style="position:absolute" from="2510,3653" to="2575,3653" stroked="true" strokeweight=".72pt" strokecolor="#858585">
              <v:stroke dashstyle="solid"/>
            </v:line>
            <v:line style="position:absolute" from="2510,3357" to="2575,3357" stroked="true" strokeweight=".72pt" strokecolor="#858585">
              <v:stroke dashstyle="solid"/>
            </v:line>
            <v:line style="position:absolute" from="2510,3062" to="2575,3062" stroked="true" strokeweight=".72pt" strokecolor="#858585">
              <v:stroke dashstyle="solid"/>
            </v:line>
            <v:line style="position:absolute" from="2510,2767" to="2575,2767" stroked="true" strokeweight=".72pt" strokecolor="#858585">
              <v:stroke dashstyle="solid"/>
            </v:line>
            <v:line style="position:absolute" from="2510,2472" to="2575,2472" stroked="true" strokeweight=".72pt" strokecolor="#858585">
              <v:stroke dashstyle="solid"/>
            </v:line>
            <v:line style="position:absolute" from="2510,2177" to="2575,2177" stroked="true" strokeweight=".72pt" strokecolor="#858585">
              <v:stroke dashstyle="solid"/>
            </v:line>
            <v:line style="position:absolute" from="2510,1879" to="2575,1879" stroked="true" strokeweight=".72pt" strokecolor="#858585">
              <v:stroke dashstyle="solid"/>
            </v:line>
            <v:line style="position:absolute" from="2510,1584" to="2575,1584" stroked="true" strokeweight=".72pt" strokecolor="#858585">
              <v:stroke dashstyle="solid"/>
            </v:line>
            <v:line style="position:absolute" from="2510,1289" to="2575,1289" stroked="true" strokeweight=".72pt" strokecolor="#858585">
              <v:stroke dashstyle="solid"/>
            </v:line>
            <v:line style="position:absolute" from="2575,4243" to="9415,4243" stroked="true" strokeweight=".72pt" strokecolor="#858585">
              <v:stroke dashstyle="solid"/>
            </v:line>
            <v:line style="position:absolute" from="2575,4243" to="2575,4308" stroked="true" strokeweight=".72pt" strokecolor="#858585">
              <v:stroke dashstyle="solid"/>
            </v:line>
            <v:line style="position:absolute" from="3943,4243" to="3943,4308" stroked="true" strokeweight=".72pt" strokecolor="#858585">
              <v:stroke dashstyle="solid"/>
            </v:line>
            <v:line style="position:absolute" from="5311,4243" to="5311,4308" stroked="true" strokeweight=".72pt" strokecolor="#858585">
              <v:stroke dashstyle="solid"/>
            </v:line>
            <v:line style="position:absolute" from="6679,4243" to="6679,4308" stroked="true" strokeweight=".72pt" strokecolor="#858585">
              <v:stroke dashstyle="solid"/>
            </v:line>
            <v:line style="position:absolute" from="8047,4243" to="8047,4308" stroked="true" strokeweight=".72pt" strokecolor="#858585">
              <v:stroke dashstyle="solid"/>
            </v:line>
            <v:line style="position:absolute" from="9415,4243" to="9415,4308" stroked="true" strokeweight=".72pt" strokecolor="#858585">
              <v:stroke dashstyle="solid"/>
            </v:line>
            <v:rect style="position:absolute;left:1599;top:442;width:8010;height:4650" filled="false" stroked="true" strokeweight=".75pt" strokecolor="#858585">
              <v:stroke dashstyle="solid"/>
            </v:rect>
            <v:shape style="position:absolute;left:3627;top:747;width:3752;height:281" type="#_x0000_t202" filled="false" stroked="false">
              <v:textbox inset="0,0,0,0">
                <w:txbxContent>
                  <w:p>
                    <w:pPr>
                      <w:spacing w:line="270" w:lineRule="exact" w:before="0"/>
                      <w:ind w:left="0" w:right="0" w:firstLine="0"/>
                      <w:jc w:val="left"/>
                      <w:rPr>
                        <w:b/>
                        <w:sz w:val="28"/>
                      </w:rPr>
                    </w:pPr>
                    <w:r>
                      <w:rPr>
                        <w:b/>
                        <w:w w:val="90"/>
                        <w:sz w:val="28"/>
                      </w:rPr>
                      <w:t>Rooms</w:t>
                    </w:r>
                    <w:r>
                      <w:rPr>
                        <w:b/>
                        <w:spacing w:val="-50"/>
                        <w:w w:val="90"/>
                        <w:sz w:val="28"/>
                      </w:rPr>
                      <w:t> </w:t>
                    </w:r>
                    <w:r>
                      <w:rPr>
                        <w:b/>
                        <w:w w:val="90"/>
                        <w:sz w:val="28"/>
                      </w:rPr>
                      <w:t>available</w:t>
                    </w:r>
                    <w:r>
                      <w:rPr>
                        <w:b/>
                        <w:spacing w:val="-50"/>
                        <w:w w:val="90"/>
                        <w:sz w:val="28"/>
                      </w:rPr>
                      <w:t> </w:t>
                    </w:r>
                    <w:r>
                      <w:rPr>
                        <w:b/>
                        <w:w w:val="90"/>
                        <w:sz w:val="28"/>
                      </w:rPr>
                      <w:t>within</w:t>
                    </w:r>
                    <w:r>
                      <w:rPr>
                        <w:b/>
                        <w:spacing w:val="-49"/>
                        <w:w w:val="90"/>
                        <w:sz w:val="28"/>
                      </w:rPr>
                      <w:t> </w:t>
                    </w:r>
                    <w:r>
                      <w:rPr>
                        <w:b/>
                        <w:w w:val="90"/>
                        <w:sz w:val="28"/>
                      </w:rPr>
                      <w:t>facilities</w:t>
                    </w:r>
                  </w:p>
                </w:txbxContent>
              </v:textbox>
              <w10:wrap type="none"/>
            </v:shape>
            <v:shape style="position:absolute;left:1790;top:1197;width:617;height:3154" type="#_x0000_t202" filled="false" stroked="false">
              <v:textbox inset="0,0,0,0">
                <w:txbxContent>
                  <w:p>
                    <w:pPr>
                      <w:spacing w:line="192" w:lineRule="exact" w:before="0"/>
                      <w:ind w:left="0" w:right="18" w:firstLine="0"/>
                      <w:jc w:val="center"/>
                      <w:rPr>
                        <w:sz w:val="20"/>
                      </w:rPr>
                    </w:pPr>
                    <w:r>
                      <w:rPr>
                        <w:w w:val="85"/>
                        <w:sz w:val="20"/>
                      </w:rPr>
                      <w:t>100.0%</w:t>
                    </w:r>
                  </w:p>
                  <w:p>
                    <w:pPr>
                      <w:spacing w:before="65"/>
                      <w:ind w:left="83" w:right="3" w:firstLine="0"/>
                      <w:jc w:val="center"/>
                      <w:rPr>
                        <w:sz w:val="20"/>
                      </w:rPr>
                    </w:pPr>
                    <w:r>
                      <w:rPr>
                        <w:w w:val="85"/>
                        <w:sz w:val="20"/>
                      </w:rPr>
                      <w:t>90.0%</w:t>
                    </w:r>
                  </w:p>
                  <w:p>
                    <w:pPr>
                      <w:spacing w:before="65"/>
                      <w:ind w:left="83" w:right="3" w:firstLine="0"/>
                      <w:jc w:val="center"/>
                      <w:rPr>
                        <w:sz w:val="20"/>
                      </w:rPr>
                    </w:pPr>
                    <w:r>
                      <w:rPr>
                        <w:w w:val="85"/>
                        <w:sz w:val="20"/>
                      </w:rPr>
                      <w:t>80.0%</w:t>
                    </w:r>
                  </w:p>
                  <w:p>
                    <w:pPr>
                      <w:spacing w:before="65"/>
                      <w:ind w:left="83" w:right="3" w:firstLine="0"/>
                      <w:jc w:val="center"/>
                      <w:rPr>
                        <w:sz w:val="20"/>
                      </w:rPr>
                    </w:pPr>
                    <w:r>
                      <w:rPr>
                        <w:w w:val="85"/>
                        <w:sz w:val="20"/>
                      </w:rPr>
                      <w:t>70.0%</w:t>
                    </w:r>
                  </w:p>
                  <w:p>
                    <w:pPr>
                      <w:spacing w:before="66"/>
                      <w:ind w:left="83" w:right="3" w:firstLine="0"/>
                      <w:jc w:val="center"/>
                      <w:rPr>
                        <w:sz w:val="20"/>
                      </w:rPr>
                    </w:pPr>
                    <w:r>
                      <w:rPr>
                        <w:w w:val="85"/>
                        <w:sz w:val="20"/>
                      </w:rPr>
                      <w:t>60.0%</w:t>
                    </w:r>
                  </w:p>
                  <w:p>
                    <w:pPr>
                      <w:spacing w:before="65"/>
                      <w:ind w:left="83" w:right="3" w:firstLine="0"/>
                      <w:jc w:val="center"/>
                      <w:rPr>
                        <w:sz w:val="20"/>
                      </w:rPr>
                    </w:pPr>
                    <w:r>
                      <w:rPr>
                        <w:w w:val="85"/>
                        <w:sz w:val="20"/>
                      </w:rPr>
                      <w:t>50.0%</w:t>
                    </w:r>
                  </w:p>
                  <w:p>
                    <w:pPr>
                      <w:spacing w:before="64"/>
                      <w:ind w:left="83" w:right="3" w:firstLine="0"/>
                      <w:jc w:val="center"/>
                      <w:rPr>
                        <w:sz w:val="20"/>
                      </w:rPr>
                    </w:pPr>
                    <w:r>
                      <w:rPr>
                        <w:w w:val="85"/>
                        <w:sz w:val="20"/>
                      </w:rPr>
                      <w:t>40.0%</w:t>
                    </w:r>
                  </w:p>
                  <w:p>
                    <w:pPr>
                      <w:spacing w:before="65"/>
                      <w:ind w:left="83" w:right="3" w:firstLine="0"/>
                      <w:jc w:val="center"/>
                      <w:rPr>
                        <w:sz w:val="20"/>
                      </w:rPr>
                    </w:pPr>
                    <w:r>
                      <w:rPr>
                        <w:w w:val="85"/>
                        <w:sz w:val="20"/>
                      </w:rPr>
                      <w:t>30.0%</w:t>
                    </w:r>
                  </w:p>
                  <w:p>
                    <w:pPr>
                      <w:spacing w:before="65"/>
                      <w:ind w:left="83" w:right="3" w:firstLine="0"/>
                      <w:jc w:val="center"/>
                      <w:rPr>
                        <w:sz w:val="20"/>
                      </w:rPr>
                    </w:pPr>
                    <w:r>
                      <w:rPr>
                        <w:w w:val="85"/>
                        <w:sz w:val="20"/>
                      </w:rPr>
                      <w:t>20.0%</w:t>
                    </w:r>
                  </w:p>
                  <w:p>
                    <w:pPr>
                      <w:spacing w:before="65"/>
                      <w:ind w:left="83" w:right="3" w:firstLine="0"/>
                      <w:jc w:val="center"/>
                      <w:rPr>
                        <w:sz w:val="20"/>
                      </w:rPr>
                    </w:pPr>
                    <w:r>
                      <w:rPr>
                        <w:w w:val="85"/>
                        <w:sz w:val="20"/>
                      </w:rPr>
                      <w:t>10.0%</w:t>
                    </w:r>
                  </w:p>
                  <w:p>
                    <w:pPr>
                      <w:spacing w:before="64"/>
                      <w:ind w:left="185" w:right="3" w:firstLine="0"/>
                      <w:jc w:val="center"/>
                      <w:rPr>
                        <w:sz w:val="20"/>
                      </w:rPr>
                    </w:pPr>
                    <w:r>
                      <w:rPr>
                        <w:w w:val="85"/>
                        <w:sz w:val="20"/>
                      </w:rPr>
                      <w:t>0.0%</w:t>
                    </w:r>
                  </w:p>
                </w:txbxContent>
              </v:textbox>
              <w10:wrap type="none"/>
            </v:shape>
            <v:shape style="position:absolute;left:2628;top:4412;width:1276;height:444" type="#_x0000_t202" filled="false" stroked="false">
              <v:textbox inset="0,0,0,0">
                <w:txbxContent>
                  <w:p>
                    <w:pPr>
                      <w:spacing w:line="192" w:lineRule="exact" w:before="0"/>
                      <w:ind w:left="-1" w:right="18" w:firstLine="0"/>
                      <w:jc w:val="center"/>
                      <w:rPr>
                        <w:sz w:val="20"/>
                      </w:rPr>
                    </w:pPr>
                    <w:r>
                      <w:rPr>
                        <w:w w:val="90"/>
                        <w:sz w:val="20"/>
                      </w:rPr>
                      <w:t>Computer</w:t>
                    </w:r>
                    <w:r>
                      <w:rPr>
                        <w:spacing w:val="28"/>
                        <w:w w:val="90"/>
                        <w:sz w:val="20"/>
                      </w:rPr>
                      <w:t> </w:t>
                    </w:r>
                    <w:r>
                      <w:rPr>
                        <w:w w:val="90"/>
                        <w:sz w:val="20"/>
                      </w:rPr>
                      <w:t>suite</w:t>
                    </w:r>
                  </w:p>
                  <w:p>
                    <w:pPr>
                      <w:spacing w:before="15"/>
                      <w:ind w:left="3" w:right="18" w:firstLine="0"/>
                      <w:jc w:val="center"/>
                      <w:rPr>
                        <w:sz w:val="20"/>
                      </w:rPr>
                    </w:pPr>
                    <w:r>
                      <w:rPr>
                        <w:sz w:val="20"/>
                      </w:rPr>
                      <w:t>for training</w:t>
                    </w:r>
                  </w:p>
                </w:txbxContent>
              </v:textbox>
              <w10:wrap type="none"/>
            </v:shape>
            <v:shape style="position:absolute;left:4321;top:4412;width:629;height:200" type="#_x0000_t202" filled="false" stroked="false">
              <v:textbox inset="0,0,0,0">
                <w:txbxContent>
                  <w:p>
                    <w:pPr>
                      <w:spacing w:line="192" w:lineRule="exact" w:before="0"/>
                      <w:ind w:left="0" w:right="0" w:firstLine="0"/>
                      <w:jc w:val="left"/>
                      <w:rPr>
                        <w:sz w:val="20"/>
                      </w:rPr>
                    </w:pPr>
                    <w:r>
                      <w:rPr>
                        <w:w w:val="90"/>
                        <w:sz w:val="20"/>
                      </w:rPr>
                      <w:t>Kitchen</w:t>
                    </w:r>
                  </w:p>
                </w:txbxContent>
              </v:textbox>
              <w10:wrap type="none"/>
            </v:shape>
            <v:shape style="position:absolute;left:5342;top:4412;width:1322;height:444" type="#_x0000_t202" filled="false" stroked="false">
              <v:textbox inset="0,0,0,0">
                <w:txbxContent>
                  <w:p>
                    <w:pPr>
                      <w:spacing w:line="192" w:lineRule="exact" w:before="0"/>
                      <w:ind w:left="16" w:right="35" w:firstLine="0"/>
                      <w:jc w:val="center"/>
                      <w:rPr>
                        <w:sz w:val="20"/>
                      </w:rPr>
                    </w:pPr>
                    <w:r>
                      <w:rPr>
                        <w:spacing w:val="-2"/>
                        <w:w w:val="90"/>
                        <w:sz w:val="20"/>
                      </w:rPr>
                      <w:t>Sports/Function</w:t>
                    </w:r>
                  </w:p>
                  <w:p>
                    <w:pPr>
                      <w:spacing w:before="15"/>
                      <w:ind w:left="16" w:right="30" w:firstLine="0"/>
                      <w:jc w:val="center"/>
                      <w:rPr>
                        <w:sz w:val="20"/>
                      </w:rPr>
                    </w:pPr>
                    <w:r>
                      <w:rPr>
                        <w:sz w:val="20"/>
                      </w:rPr>
                      <w:t>Hall</w:t>
                    </w:r>
                  </w:p>
                </w:txbxContent>
              </v:textbox>
              <w10:wrap type="none"/>
            </v:shape>
            <v:shape style="position:absolute;left:7123;top:4412;width:502;height:200" type="#_x0000_t202" filled="false" stroked="false">
              <v:textbox inset="0,0,0,0">
                <w:txbxContent>
                  <w:p>
                    <w:pPr>
                      <w:spacing w:line="192" w:lineRule="exact" w:before="0"/>
                      <w:ind w:left="0" w:right="0" w:firstLine="0"/>
                      <w:jc w:val="left"/>
                      <w:rPr>
                        <w:sz w:val="20"/>
                      </w:rPr>
                    </w:pPr>
                    <w:r>
                      <w:rPr>
                        <w:w w:val="90"/>
                        <w:sz w:val="20"/>
                      </w:rPr>
                      <w:t>Office</w:t>
                    </w:r>
                  </w:p>
                </w:txbxContent>
              </v:textbox>
              <w10:wrap type="none"/>
            </v:shape>
            <v:shape style="position:absolute;left:8420;top:4412;width:643;height:200" type="#_x0000_t202" filled="false" stroked="false">
              <v:textbox inset="0,0,0,0">
                <w:txbxContent>
                  <w:p>
                    <w:pPr>
                      <w:spacing w:line="192" w:lineRule="exact" w:before="0"/>
                      <w:ind w:left="0" w:right="0" w:firstLine="0"/>
                      <w:jc w:val="left"/>
                      <w:rPr>
                        <w:sz w:val="20"/>
                      </w:rPr>
                    </w:pPr>
                    <w:r>
                      <w:rPr>
                        <w:w w:val="90"/>
                        <w:sz w:val="20"/>
                      </w:rPr>
                      <w:t>Storage</w:t>
                    </w:r>
                  </w:p>
                </w:txbxContent>
              </v:textbox>
              <w10:wrap type="none"/>
            </v:shape>
            <w10:wrap type="topAndBottom"/>
          </v:group>
        </w:pict>
      </w:r>
      <w:r>
        <w:rPr>
          <w:b/>
          <w:sz w:val="20"/>
        </w:rPr>
        <w:t>Figure 20: Types of rooms available</w:t>
      </w:r>
    </w:p>
    <w:p>
      <w:pPr>
        <w:pStyle w:val="BodyText"/>
        <w:rPr>
          <w:b/>
          <w:sz w:val="22"/>
        </w:rPr>
      </w:pPr>
    </w:p>
    <w:p>
      <w:pPr>
        <w:pStyle w:val="BodyText"/>
        <w:spacing w:before="9"/>
        <w:rPr>
          <w:b/>
          <w:sz w:val="22"/>
        </w:rPr>
      </w:pPr>
    </w:p>
    <w:p>
      <w:pPr>
        <w:pStyle w:val="BodyText"/>
        <w:spacing w:line="360" w:lineRule="auto"/>
        <w:ind w:left="110" w:right="95"/>
      </w:pPr>
      <w:r>
        <w:rPr/>
        <w:t>Almost all of the facilities would have a meeting room available for use with 86% (103) of facilities replying positively to this.</w:t>
      </w:r>
    </w:p>
    <w:p>
      <w:pPr>
        <w:pStyle w:val="BodyText"/>
        <w:spacing w:before="4"/>
        <w:rPr>
          <w:sz w:val="36"/>
        </w:rPr>
      </w:pPr>
    </w:p>
    <w:p>
      <w:pPr>
        <w:pStyle w:val="BodyText"/>
        <w:spacing w:line="360" w:lineRule="auto"/>
        <w:ind w:left="110" w:right="147"/>
      </w:pPr>
      <w:r>
        <w:rPr/>
        <w:t>An analysis was made into when the facilities were built and 33% (40) were built between 2001 and 2016, followed by 25% (31) of facilities reported as being built pre- 1900. So the majority of facilities are either newly built or are quite old. The full list of responses can be seen in Figure 21.</w:t>
      </w:r>
    </w:p>
    <w:p>
      <w:pPr>
        <w:pStyle w:val="BodyText"/>
        <w:spacing w:before="11"/>
        <w:rPr>
          <w:sz w:val="29"/>
        </w:rPr>
      </w:pPr>
    </w:p>
    <w:p>
      <w:pPr>
        <w:spacing w:before="0"/>
        <w:ind w:left="110" w:right="0" w:firstLine="0"/>
        <w:jc w:val="left"/>
        <w:rPr>
          <w:b/>
          <w:sz w:val="20"/>
        </w:rPr>
      </w:pPr>
      <w:r>
        <w:rPr/>
        <w:pict>
          <v:group style="position:absolute;margin-left:79.574997pt;margin-top:17.064890pt;width:408pt;height:231pt;mso-position-horizontal-relative:page;mso-position-vertical-relative:paragraph;z-index:3640;mso-wrap-distance-left:0;mso-wrap-distance-right:0" coordorigin="1591,341" coordsize="8160,4620">
            <v:shape style="position:absolute;left:5533;top:1988;width:1247;height:1289" coordorigin="5533,1989" coordsize="1247,1289" path="m5533,1989l5533,3234,6779,3277,6780,3201,6775,3126,6767,3053,6754,2980,6737,2909,6716,2840,6691,2772,6663,2707,6631,2643,6595,2581,6556,2522,6514,2465,6469,2411,6420,2359,6369,2310,6315,2264,6258,2221,6199,2181,6138,2145,6074,2112,6008,2082,5941,2057,5871,2035,5799,2017,5727,2004,5652,1994,5576,1989,5533,1989xe" filled="true" fillcolor="#4571a7" stroked="false">
              <v:path arrowok="t"/>
              <v:fill type="solid"/>
            </v:shape>
            <v:shape style="position:absolute;left:5533;top:3234;width:1246;height:426" coordorigin="5533,3234" coordsize="1246,426" path="m5533,3234l6705,3659,6730,3585,6749,3509,6764,3433,6774,3355,6779,3277,5533,3234xe" filled="true" fillcolor="#aa4643" stroked="false">
              <v:path arrowok="t"/>
              <v:fill type="solid"/>
            </v:shape>
            <v:shape style="position:absolute;left:5533;top:3234;width:1172;height:766" coordorigin="5533,3234" coordsize="1172,766" path="m5533,3234l6517,4000,6563,3937,6605,3871,6643,3803,6676,3732,6705,3659,5533,3234xe" filled="true" fillcolor="#88a44e" stroked="false">
              <v:path arrowok="t"/>
              <v:fill type="solid"/>
            </v:shape>
            <v:shape style="position:absolute;left:5533;top:3234;width:984;height:866" coordorigin="5533,3234" coordsize="984,866" path="m5533,3234l6429,4100,6452,4076,6474,4051,6496,4026,6517,4000,5533,3234xe" filled="true" fillcolor="#70578f" stroked="false">
              <v:path arrowok="t"/>
              <v:fill type="solid"/>
            </v:shape>
            <v:shape style="position:absolute;left:5533;top:3234;width:897;height:1213" coordorigin="5533,3234" coordsize="897,1213" path="m5533,3234l5820,4446,5896,4426,5971,4400,6044,4370,6115,4336,6183,4297,6249,4254,6312,4207,6372,4155,6429,4100,5533,3234xe" filled="true" fillcolor="#4197ae" stroked="false">
              <v:path arrowok="t"/>
              <v:fill type="solid"/>
            </v:shape>
            <v:shape style="position:absolute;left:4442;top:3234;width:1378;height:1246" coordorigin="4442,3234" coordsize="1378,1246" path="m5533,3234l4442,3837,4481,3902,4523,3964,4568,4023,4617,4079,4668,4131,4722,4181,4779,4226,4838,4268,4900,4307,4963,4342,5028,4373,5095,4400,5164,4424,5234,4443,5305,4459,5377,4470,5449,4477,5523,4480,5597,4478,5671,4472,5745,4462,5820,4446,5533,3234xe" filled="true" fillcolor="#db843c" stroked="false">
              <v:path arrowok="t"/>
              <v:fill type="solid"/>
            </v:shape>
            <v:shape style="position:absolute;left:4286;top:1988;width:1247;height:1849" coordorigin="4286,1989" coordsize="1247,1849" path="m5533,1989l5457,1991,5382,1998,5309,2009,5237,2024,5167,2043,5098,2067,5031,2094,4967,2124,4904,2159,4843,2196,4785,2237,4730,2282,4677,2329,4627,2379,4580,2432,4535,2487,4494,2545,4457,2605,4422,2668,4392,2733,4364,2800,4341,2868,4322,2938,4306,3010,4295,3084,4289,3158,4286,3234,4289,3313,4296,3391,4309,3469,4326,3545,4348,3621,4375,3695,4406,3767,4442,3837,5533,3234,5533,1989xe" filled="true" fillcolor="#92a9cf" stroked="false">
              <v:path arrowok="t"/>
              <v:fill type="solid"/>
            </v:shape>
            <v:rect style="position:absolute;left:3302;top:1117;width:111;height:113" filled="true" fillcolor="#4571a7" stroked="false">
              <v:fill type="solid"/>
            </v:rect>
            <v:rect style="position:absolute;left:4521;top:1117;width:113;height:113" filled="true" fillcolor="#aa4643" stroked="false">
              <v:fill type="solid"/>
            </v:rect>
            <v:rect style="position:absolute;left:5743;top:1117;width:113;height:113" filled="true" fillcolor="#88a44e" stroked="false">
              <v:fill type="solid"/>
            </v:rect>
            <v:rect style="position:absolute;left:6964;top:1117;width:111;height:113" filled="true" fillcolor="#70578f" stroked="false">
              <v:fill type="solid"/>
            </v:rect>
            <v:rect style="position:absolute;left:3302;top:1479;width:111;height:111" filled="true" fillcolor="#4197ae" stroked="false">
              <v:fill type="solid"/>
            </v:rect>
            <v:rect style="position:absolute;left:4521;top:1479;width:113;height:111" filled="true" fillcolor="#db843c" stroked="false">
              <v:fill type="solid"/>
            </v:rect>
            <v:rect style="position:absolute;left:5743;top:1479;width:113;height:111" filled="true" fillcolor="#92a9cf" stroked="false">
              <v:fill type="solid"/>
            </v:rect>
            <v:rect style="position:absolute;left:1599;top:348;width:8145;height:4605" filled="false" stroked="true" strokeweight=".75pt" strokecolor="#858585">
              <v:stroke dashstyle="solid"/>
            </v:rect>
            <v:shape style="position:absolute;left:3457;top:555;width:4680;height:1085" type="#_x0000_t202" filled="false" stroked="false">
              <v:textbox inset="0,0,0,0">
                <w:txbxContent>
                  <w:p>
                    <w:pPr>
                      <w:spacing w:line="270" w:lineRule="exact" w:before="0"/>
                      <w:ind w:left="1057" w:right="0" w:firstLine="0"/>
                      <w:jc w:val="left"/>
                      <w:rPr>
                        <w:b/>
                        <w:sz w:val="28"/>
                      </w:rPr>
                    </w:pPr>
                    <w:r>
                      <w:rPr>
                        <w:b/>
                        <w:w w:val="85"/>
                        <w:sz w:val="28"/>
                      </w:rPr>
                      <w:t>Construction Period</w:t>
                    </w:r>
                  </w:p>
                  <w:p>
                    <w:pPr>
                      <w:tabs>
                        <w:tab w:pos="1221" w:val="left" w:leader="none"/>
                        <w:tab w:pos="2442" w:val="left" w:leader="none"/>
                        <w:tab w:pos="3663" w:val="left" w:leader="none"/>
                      </w:tabs>
                      <w:spacing w:before="216"/>
                      <w:ind w:left="0" w:right="0" w:firstLine="0"/>
                      <w:jc w:val="left"/>
                      <w:rPr>
                        <w:sz w:val="20"/>
                      </w:rPr>
                    </w:pPr>
                    <w:r>
                      <w:rPr>
                        <w:sz w:val="20"/>
                      </w:rPr>
                      <w:t>Before</w:t>
                    </w:r>
                    <w:r>
                      <w:rPr>
                        <w:spacing w:val="-38"/>
                        <w:sz w:val="20"/>
                      </w:rPr>
                      <w:t> </w:t>
                    </w:r>
                    <w:r>
                      <w:rPr>
                        <w:sz w:val="20"/>
                      </w:rPr>
                      <w:t>1900</w:t>
                      <w:tab/>
                      <w:t>1901</w:t>
                    </w:r>
                    <w:r>
                      <w:rPr>
                        <w:spacing w:val="-33"/>
                        <w:sz w:val="20"/>
                      </w:rPr>
                      <w:t> </w:t>
                    </w:r>
                    <w:r>
                      <w:rPr>
                        <w:sz w:val="20"/>
                      </w:rPr>
                      <w:t>–</w:t>
                    </w:r>
                    <w:r>
                      <w:rPr>
                        <w:spacing w:val="-33"/>
                        <w:sz w:val="20"/>
                      </w:rPr>
                      <w:t> </w:t>
                    </w:r>
                    <w:r>
                      <w:rPr>
                        <w:sz w:val="20"/>
                      </w:rPr>
                      <w:t>1920</w:t>
                      <w:tab/>
                      <w:t>1921</w:t>
                    </w:r>
                    <w:r>
                      <w:rPr>
                        <w:spacing w:val="-33"/>
                        <w:sz w:val="20"/>
                      </w:rPr>
                      <w:t> </w:t>
                    </w:r>
                    <w:r>
                      <w:rPr>
                        <w:sz w:val="20"/>
                      </w:rPr>
                      <w:t>–</w:t>
                    </w:r>
                    <w:r>
                      <w:rPr>
                        <w:spacing w:val="-33"/>
                        <w:sz w:val="20"/>
                      </w:rPr>
                      <w:t> </w:t>
                    </w:r>
                    <w:r>
                      <w:rPr>
                        <w:sz w:val="20"/>
                      </w:rPr>
                      <w:t>1940</w:t>
                      <w:tab/>
                    </w:r>
                    <w:r>
                      <w:rPr>
                        <w:w w:val="95"/>
                        <w:sz w:val="20"/>
                      </w:rPr>
                      <w:t>1941</w:t>
                    </w:r>
                    <w:r>
                      <w:rPr>
                        <w:spacing w:val="-34"/>
                        <w:w w:val="95"/>
                        <w:sz w:val="20"/>
                      </w:rPr>
                      <w:t> </w:t>
                    </w:r>
                    <w:r>
                      <w:rPr>
                        <w:w w:val="95"/>
                        <w:sz w:val="20"/>
                      </w:rPr>
                      <w:t>–</w:t>
                    </w:r>
                    <w:r>
                      <w:rPr>
                        <w:spacing w:val="-34"/>
                        <w:w w:val="95"/>
                        <w:sz w:val="20"/>
                      </w:rPr>
                      <w:t> </w:t>
                    </w:r>
                    <w:r>
                      <w:rPr>
                        <w:w w:val="95"/>
                        <w:sz w:val="20"/>
                      </w:rPr>
                      <w:t>1960</w:t>
                    </w:r>
                  </w:p>
                  <w:p>
                    <w:pPr>
                      <w:tabs>
                        <w:tab w:pos="1221" w:val="left" w:leader="none"/>
                        <w:tab w:pos="2442" w:val="left" w:leader="none"/>
                      </w:tabs>
                      <w:spacing w:before="131"/>
                      <w:ind w:left="0" w:right="0" w:firstLine="0"/>
                      <w:jc w:val="left"/>
                      <w:rPr>
                        <w:sz w:val="20"/>
                      </w:rPr>
                    </w:pPr>
                    <w:r>
                      <w:rPr>
                        <w:sz w:val="20"/>
                      </w:rPr>
                      <w:t>1961</w:t>
                    </w:r>
                    <w:r>
                      <w:rPr>
                        <w:spacing w:val="-33"/>
                        <w:sz w:val="20"/>
                      </w:rPr>
                      <w:t> </w:t>
                    </w:r>
                    <w:r>
                      <w:rPr>
                        <w:sz w:val="20"/>
                      </w:rPr>
                      <w:t>–</w:t>
                    </w:r>
                    <w:r>
                      <w:rPr>
                        <w:spacing w:val="-33"/>
                        <w:sz w:val="20"/>
                      </w:rPr>
                      <w:t> </w:t>
                    </w:r>
                    <w:r>
                      <w:rPr>
                        <w:sz w:val="20"/>
                      </w:rPr>
                      <w:t>1980</w:t>
                      <w:tab/>
                      <w:t>1981</w:t>
                    </w:r>
                    <w:r>
                      <w:rPr>
                        <w:spacing w:val="-33"/>
                        <w:sz w:val="20"/>
                      </w:rPr>
                      <w:t> </w:t>
                    </w:r>
                    <w:r>
                      <w:rPr>
                        <w:sz w:val="20"/>
                      </w:rPr>
                      <w:t>–</w:t>
                    </w:r>
                    <w:r>
                      <w:rPr>
                        <w:spacing w:val="-33"/>
                        <w:sz w:val="20"/>
                      </w:rPr>
                      <w:t> </w:t>
                    </w:r>
                    <w:r>
                      <w:rPr>
                        <w:sz w:val="20"/>
                      </w:rPr>
                      <w:t>2000</w:t>
                      <w:tab/>
                    </w:r>
                    <w:r>
                      <w:rPr>
                        <w:w w:val="95"/>
                        <w:sz w:val="20"/>
                      </w:rPr>
                      <w:t>2001</w:t>
                    </w:r>
                    <w:r>
                      <w:rPr>
                        <w:spacing w:val="-34"/>
                        <w:w w:val="95"/>
                        <w:sz w:val="20"/>
                      </w:rPr>
                      <w:t> </w:t>
                    </w:r>
                    <w:r>
                      <w:rPr>
                        <w:w w:val="95"/>
                        <w:sz w:val="20"/>
                      </w:rPr>
                      <w:t>–</w:t>
                    </w:r>
                    <w:r>
                      <w:rPr>
                        <w:spacing w:val="-34"/>
                        <w:w w:val="95"/>
                        <w:sz w:val="20"/>
                      </w:rPr>
                      <w:t> </w:t>
                    </w:r>
                    <w:r>
                      <w:rPr>
                        <w:w w:val="95"/>
                        <w:sz w:val="20"/>
                      </w:rPr>
                      <w:t>2016</w:t>
                    </w:r>
                  </w:p>
                </w:txbxContent>
              </v:textbox>
              <w10:wrap type="none"/>
            </v:shape>
            <v:shape style="position:absolute;left:4541;top:2655;width:364;height:200" type="#_x0000_t202" filled="false" stroked="false">
              <v:textbox inset="0,0,0,0">
                <w:txbxContent>
                  <w:p>
                    <w:pPr>
                      <w:spacing w:line="192" w:lineRule="exact" w:before="0"/>
                      <w:ind w:left="0" w:right="0" w:firstLine="0"/>
                      <w:jc w:val="left"/>
                      <w:rPr>
                        <w:sz w:val="20"/>
                      </w:rPr>
                    </w:pPr>
                    <w:r>
                      <w:rPr>
                        <w:w w:val="85"/>
                        <w:sz w:val="20"/>
                      </w:rPr>
                      <w:t>33%</w:t>
                    </w:r>
                  </w:p>
                </w:txbxContent>
              </v:textbox>
              <w10:wrap type="none"/>
            </v:shape>
            <v:shape style="position:absolute;left:6056;top:2520;width:364;height:200" type="#_x0000_t202" filled="false" stroked="false">
              <v:textbox inset="0,0,0,0">
                <w:txbxContent>
                  <w:p>
                    <w:pPr>
                      <w:spacing w:line="192" w:lineRule="exact" w:before="0"/>
                      <w:ind w:left="0" w:right="0" w:firstLine="0"/>
                      <w:jc w:val="left"/>
                      <w:rPr>
                        <w:sz w:val="20"/>
                      </w:rPr>
                    </w:pPr>
                    <w:r>
                      <w:rPr>
                        <w:w w:val="85"/>
                        <w:sz w:val="20"/>
                      </w:rPr>
                      <w:t>25%</w:t>
                    </w:r>
                  </w:p>
                </w:txbxContent>
              </v:textbox>
              <w10:wrap type="none"/>
            </v:shape>
            <v:shape style="position:absolute;left:6416;top:3345;width:264;height:200" type="#_x0000_t202" filled="false" stroked="false">
              <v:textbox inset="0,0,0,0">
                <w:txbxContent>
                  <w:p>
                    <w:pPr>
                      <w:spacing w:line="192" w:lineRule="exact" w:before="0"/>
                      <w:ind w:left="0" w:right="0" w:firstLine="0"/>
                      <w:jc w:val="left"/>
                      <w:rPr>
                        <w:sz w:val="20"/>
                      </w:rPr>
                    </w:pPr>
                    <w:r>
                      <w:rPr>
                        <w:w w:val="85"/>
                        <w:sz w:val="20"/>
                      </w:rPr>
                      <w:t>5%</w:t>
                    </w:r>
                  </w:p>
                </w:txbxContent>
              </v:textbox>
              <w10:wrap type="none"/>
            </v:shape>
            <v:shape style="position:absolute;left:4961;top:4050;width:364;height:200" type="#_x0000_t202" filled="false" stroked="false">
              <v:textbox inset="0,0,0,0">
                <w:txbxContent>
                  <w:p>
                    <w:pPr>
                      <w:spacing w:line="192" w:lineRule="exact" w:before="0"/>
                      <w:ind w:left="0" w:right="0" w:firstLine="0"/>
                      <w:jc w:val="left"/>
                      <w:rPr>
                        <w:sz w:val="20"/>
                      </w:rPr>
                    </w:pPr>
                    <w:r>
                      <w:rPr>
                        <w:w w:val="85"/>
                        <w:sz w:val="20"/>
                      </w:rPr>
                      <w:t>21%</w:t>
                    </w:r>
                  </w:p>
                </w:txbxContent>
              </v:textbox>
              <w10:wrap type="none"/>
            </v:shape>
            <v:shape style="position:absolute;left:5891;top:3796;width:1044;height:545" type="#_x0000_t202" filled="false" stroked="false">
              <v:textbox inset="0,0,0,0">
                <w:txbxContent>
                  <w:p>
                    <w:pPr>
                      <w:spacing w:line="192" w:lineRule="exact" w:before="0"/>
                      <w:ind w:left="0" w:right="18" w:firstLine="0"/>
                      <w:jc w:val="right"/>
                      <w:rPr>
                        <w:sz w:val="20"/>
                      </w:rPr>
                    </w:pPr>
                    <w:r>
                      <w:rPr>
                        <w:w w:val="80"/>
                        <w:sz w:val="20"/>
                      </w:rPr>
                      <w:t>5%</w:t>
                    </w:r>
                  </w:p>
                  <w:p>
                    <w:pPr>
                      <w:tabs>
                        <w:tab w:pos="615" w:val="left" w:leader="none"/>
                      </w:tabs>
                      <w:spacing w:before="10"/>
                      <w:ind w:left="0" w:right="0" w:firstLine="0"/>
                      <w:jc w:val="left"/>
                      <w:rPr>
                        <w:sz w:val="20"/>
                      </w:rPr>
                    </w:pPr>
                    <w:r>
                      <w:rPr>
                        <w:w w:val="95"/>
                        <w:sz w:val="20"/>
                      </w:rPr>
                      <w:t>9%</w:t>
                      <w:tab/>
                    </w:r>
                    <w:r>
                      <w:rPr>
                        <w:w w:val="95"/>
                        <w:position w:val="-10"/>
                        <w:sz w:val="20"/>
                      </w:rPr>
                      <w:t>2%</w:t>
                    </w:r>
                  </w:p>
                </w:txbxContent>
              </v:textbox>
              <w10:wrap type="none"/>
            </v:shape>
            <w10:wrap type="topAndBottom"/>
          </v:group>
        </w:pict>
      </w:r>
      <w:r>
        <w:rPr>
          <w:b/>
          <w:sz w:val="20"/>
        </w:rPr>
        <w:t>Figure 21: Construction period</w:t>
      </w:r>
    </w:p>
    <w:p>
      <w:pPr>
        <w:spacing w:after="0"/>
        <w:jc w:val="left"/>
        <w:rPr>
          <w:sz w:val="20"/>
        </w:rPr>
        <w:sectPr>
          <w:pgSz w:w="11910" w:h="17340"/>
          <w:pgMar w:header="759" w:footer="1014" w:top="940" w:bottom="1200" w:left="1460" w:right="1100"/>
        </w:sectPr>
      </w:pPr>
    </w:p>
    <w:p>
      <w:pPr>
        <w:pStyle w:val="BodyText"/>
        <w:spacing w:before="7"/>
        <w:rPr>
          <w:b/>
          <w:sz w:val="15"/>
        </w:rPr>
      </w:pPr>
    </w:p>
    <w:p>
      <w:pPr>
        <w:pStyle w:val="BodyText"/>
        <w:spacing w:line="360" w:lineRule="auto" w:before="92"/>
        <w:ind w:left="110" w:right="228"/>
        <w:jc w:val="both"/>
      </w:pPr>
      <w:r>
        <w:rPr/>
        <w:t>The questionnaire asked if any refurbishment works have taken place on the facilities and 35% of the respondents indicated that their facilities have been refurbished within the last 5 years.</w:t>
      </w:r>
    </w:p>
    <w:p>
      <w:pPr>
        <w:pStyle w:val="BodyText"/>
        <w:spacing w:before="11"/>
        <w:rPr>
          <w:sz w:val="35"/>
        </w:rPr>
      </w:pPr>
    </w:p>
    <w:p>
      <w:pPr>
        <w:spacing w:before="0"/>
        <w:ind w:left="110" w:right="0" w:firstLine="0"/>
        <w:jc w:val="both"/>
        <w:rPr>
          <w:b/>
          <w:sz w:val="20"/>
        </w:rPr>
      </w:pPr>
      <w:r>
        <w:rPr/>
        <w:pict>
          <v:group style="position:absolute;margin-left:79.574997pt;margin-top:17.064892pt;width:360.75pt;height:175.5pt;mso-position-horizontal-relative:page;mso-position-vertical-relative:paragraph;z-index:3880;mso-wrap-distance-left:0;mso-wrap-distance-right:0" coordorigin="1591,341" coordsize="7215,3510">
            <v:shape style="position:absolute;left:5215;top:1588;width:1020;height:1040" coordorigin="5215,1589" coordsize="1020,1040" path="m5228,1589l5215,1589,5215,2609,6235,2628,6234,2552,6227,2477,6215,2404,6197,2333,6175,2263,6148,2196,6117,2132,6081,2070,6041,2010,5997,1954,5950,1901,5899,1852,5844,1806,5787,1764,5726,1726,5663,1692,5597,1662,5528,1638,5458,1618,5385,1603,5310,1593,5234,1589,5228,1589xe" filled="true" fillcolor="#4f81bc" stroked="false">
              <v:path arrowok="t"/>
              <v:fill type="solid"/>
            </v:shape>
            <v:shape style="position:absolute;left:5215;top:2608;width:1020;height:909" coordorigin="5215,2609" coordsize="1020,909" path="m5215,2609l5678,3518,5748,3478,5814,3434,5876,3385,5934,3332,5987,3275,6036,3214,6080,3150,6119,3082,6152,3012,6180,2939,6203,2864,6220,2787,6230,2708,6235,2628,5215,2609xe" filled="true" fillcolor="#c0504d" stroked="false">
              <v:path arrowok="t"/>
              <v:fill type="solid"/>
            </v:shape>
            <v:shape style="position:absolute;left:4371;top:2608;width:1307;height:1020" coordorigin="4372,2609" coordsize="1307,1020" path="m5215,2609l4372,3182,4417,3244,4466,3301,4519,3354,4574,3403,4633,3447,4695,3486,4758,3521,4824,3551,4892,3576,4962,3597,5032,3612,5104,3623,5176,3628,5249,3628,5322,3623,5394,3613,5467,3597,5538,3576,5609,3550,5678,3518,5215,2609xe" filled="true" fillcolor="#9bba58" stroked="false">
              <v:path arrowok="t"/>
              <v:fill type="solid"/>
            </v:shape>
            <v:shape style="position:absolute;left:4195;top:1588;width:1020;height:1594" coordorigin="4195,1589" coordsize="1020,1594" path="m5215,1589l5139,1592,5064,1600,4992,1613,4921,1632,4852,1655,4785,1684,4721,1716,4660,1753,4601,1794,4546,1839,4494,1888,4445,1940,4400,1995,4360,2053,4323,2115,4290,2179,4262,2245,4238,2314,4220,2385,4206,2458,4198,2533,4195,2609,4198,2685,4207,2761,4221,2835,4240,2909,4265,2980,4296,3050,4331,3117,4372,3182,5215,2609,5215,1589xe" filled="true" fillcolor="#8063a1" stroked="false">
              <v:path arrowok="t"/>
              <v:fill type="solid"/>
            </v:shape>
            <v:rect style="position:absolute;left:2479;top:1115;width:113;height:113" filled="true" fillcolor="#4f81bc" stroked="false">
              <v:fill type="solid"/>
            </v:rect>
            <v:rect style="position:absolute;left:3950;top:1115;width:113;height:113" filled="true" fillcolor="#c0504d" stroked="false">
              <v:fill type="solid"/>
            </v:rect>
            <v:rect style="position:absolute;left:5421;top:1115;width:113;height:113" filled="true" fillcolor="#9bba58" stroked="false">
              <v:fill type="solid"/>
            </v:rect>
            <v:rect style="position:absolute;left:6892;top:1115;width:113;height:113" filled="true" fillcolor="#8063a1" stroked="false">
              <v:fill type="solid"/>
            </v:rect>
            <v:rect style="position:absolute;left:1599;top:348;width:7200;height:3495" filled="false" stroked="true" strokeweight=".75pt" strokecolor="#858585">
              <v:stroke dashstyle="solid"/>
            </v:rect>
            <v:shape style="position:absolute;left:3655;top:535;width:2617;height:281" type="#_x0000_t202" filled="false" stroked="false">
              <v:textbox inset="0,0,0,0">
                <w:txbxContent>
                  <w:p>
                    <w:pPr>
                      <w:spacing w:line="270" w:lineRule="exact" w:before="0"/>
                      <w:ind w:left="0" w:right="0" w:firstLine="0"/>
                      <w:jc w:val="left"/>
                      <w:rPr>
                        <w:b/>
                        <w:sz w:val="28"/>
                      </w:rPr>
                    </w:pPr>
                    <w:r>
                      <w:rPr>
                        <w:b/>
                        <w:spacing w:val="-6"/>
                        <w:w w:val="90"/>
                        <w:sz w:val="28"/>
                      </w:rPr>
                      <w:t>Year</w:t>
                    </w:r>
                    <w:r>
                      <w:rPr>
                        <w:b/>
                        <w:spacing w:val="-48"/>
                        <w:w w:val="90"/>
                        <w:sz w:val="28"/>
                      </w:rPr>
                      <w:t> </w:t>
                    </w:r>
                    <w:r>
                      <w:rPr>
                        <w:b/>
                        <w:w w:val="90"/>
                        <w:sz w:val="28"/>
                      </w:rPr>
                      <w:t>of</w:t>
                    </w:r>
                    <w:r>
                      <w:rPr>
                        <w:b/>
                        <w:spacing w:val="-45"/>
                        <w:w w:val="90"/>
                        <w:sz w:val="28"/>
                      </w:rPr>
                      <w:t> </w:t>
                    </w:r>
                    <w:r>
                      <w:rPr>
                        <w:b/>
                        <w:w w:val="90"/>
                        <w:sz w:val="28"/>
                      </w:rPr>
                      <w:t>Refurbishment</w:t>
                    </w:r>
                  </w:p>
                </w:txbxContent>
              </v:textbox>
              <w10:wrap type="none"/>
            </v:shape>
            <v:shape style="position:absolute;left:2635;top:1078;width:1070;height:200" type="#_x0000_t202" filled="false" stroked="false">
              <v:textbox inset="0,0,0,0">
                <w:txbxContent>
                  <w:p>
                    <w:pPr>
                      <w:spacing w:line="192" w:lineRule="exact" w:before="0"/>
                      <w:ind w:left="0" w:right="0" w:firstLine="0"/>
                      <w:jc w:val="left"/>
                      <w:rPr>
                        <w:sz w:val="20"/>
                      </w:rPr>
                    </w:pPr>
                    <w:r>
                      <w:rPr>
                        <w:w w:val="90"/>
                        <w:sz w:val="20"/>
                      </w:rPr>
                      <w:t>Last 20</w:t>
                    </w:r>
                    <w:r>
                      <w:rPr>
                        <w:spacing w:val="-37"/>
                        <w:w w:val="90"/>
                        <w:sz w:val="20"/>
                      </w:rPr>
                      <w:t> </w:t>
                    </w:r>
                    <w:r>
                      <w:rPr>
                        <w:w w:val="90"/>
                        <w:sz w:val="20"/>
                      </w:rPr>
                      <w:t>years</w:t>
                    </w:r>
                  </w:p>
                </w:txbxContent>
              </v:textbox>
              <w10:wrap type="none"/>
            </v:shape>
            <v:shape style="position:absolute;left:4106;top:1078;width:1070;height:200" type="#_x0000_t202" filled="false" stroked="false">
              <v:textbox inset="0,0,0,0">
                <w:txbxContent>
                  <w:p>
                    <w:pPr>
                      <w:spacing w:line="192" w:lineRule="exact" w:before="0"/>
                      <w:ind w:left="0" w:right="0" w:firstLine="0"/>
                      <w:jc w:val="left"/>
                      <w:rPr>
                        <w:sz w:val="20"/>
                      </w:rPr>
                    </w:pPr>
                    <w:r>
                      <w:rPr>
                        <w:w w:val="90"/>
                        <w:sz w:val="20"/>
                      </w:rPr>
                      <w:t>Last 15</w:t>
                    </w:r>
                    <w:r>
                      <w:rPr>
                        <w:spacing w:val="-37"/>
                        <w:w w:val="90"/>
                        <w:sz w:val="20"/>
                      </w:rPr>
                      <w:t> </w:t>
                    </w:r>
                    <w:r>
                      <w:rPr>
                        <w:w w:val="90"/>
                        <w:sz w:val="20"/>
                      </w:rPr>
                      <w:t>years</w:t>
                    </w:r>
                  </w:p>
                </w:txbxContent>
              </v:textbox>
              <w10:wrap type="none"/>
            </v:shape>
            <v:shape style="position:absolute;left:5577;top:1078;width:1070;height:200" type="#_x0000_t202" filled="false" stroked="false">
              <v:textbox inset="0,0,0,0">
                <w:txbxContent>
                  <w:p>
                    <w:pPr>
                      <w:spacing w:line="192" w:lineRule="exact" w:before="0"/>
                      <w:ind w:left="0" w:right="0" w:firstLine="0"/>
                      <w:jc w:val="left"/>
                      <w:rPr>
                        <w:sz w:val="20"/>
                      </w:rPr>
                    </w:pPr>
                    <w:r>
                      <w:rPr>
                        <w:w w:val="90"/>
                        <w:sz w:val="20"/>
                      </w:rPr>
                      <w:t>Last 10</w:t>
                    </w:r>
                    <w:r>
                      <w:rPr>
                        <w:spacing w:val="-37"/>
                        <w:w w:val="90"/>
                        <w:sz w:val="20"/>
                      </w:rPr>
                      <w:t> </w:t>
                    </w:r>
                    <w:r>
                      <w:rPr>
                        <w:w w:val="90"/>
                        <w:sz w:val="20"/>
                      </w:rPr>
                      <w:t>years</w:t>
                    </w:r>
                  </w:p>
                </w:txbxContent>
              </v:textbox>
              <w10:wrap type="none"/>
            </v:shape>
            <v:shape style="position:absolute;left:7049;top:1078;width:967;height:200" type="#_x0000_t202" filled="false" stroked="false">
              <v:textbox inset="0,0,0,0">
                <w:txbxContent>
                  <w:p>
                    <w:pPr>
                      <w:spacing w:line="192" w:lineRule="exact" w:before="0"/>
                      <w:ind w:left="0" w:right="0" w:firstLine="0"/>
                      <w:jc w:val="left"/>
                      <w:rPr>
                        <w:sz w:val="20"/>
                      </w:rPr>
                    </w:pPr>
                    <w:r>
                      <w:rPr>
                        <w:w w:val="90"/>
                        <w:sz w:val="20"/>
                      </w:rPr>
                      <w:t>Last 5</w:t>
                    </w:r>
                    <w:r>
                      <w:rPr>
                        <w:spacing w:val="-39"/>
                        <w:w w:val="90"/>
                        <w:sz w:val="20"/>
                      </w:rPr>
                      <w:t> </w:t>
                    </w:r>
                    <w:r>
                      <w:rPr>
                        <w:w w:val="90"/>
                        <w:sz w:val="20"/>
                      </w:rPr>
                      <w:t>years</w:t>
                    </w:r>
                  </w:p>
                </w:txbxContent>
              </v:textbox>
              <w10:wrap type="none"/>
            </v:shape>
            <v:shape style="position:absolute;left:4405;top:2174;width:364;height:200" type="#_x0000_t202" filled="false" stroked="false">
              <v:textbox inset="0,0,0,0">
                <w:txbxContent>
                  <w:p>
                    <w:pPr>
                      <w:spacing w:line="192" w:lineRule="exact" w:before="0"/>
                      <w:ind w:left="0" w:right="0" w:firstLine="0"/>
                      <w:jc w:val="left"/>
                      <w:rPr>
                        <w:sz w:val="20"/>
                      </w:rPr>
                    </w:pPr>
                    <w:r>
                      <w:rPr>
                        <w:w w:val="85"/>
                        <w:sz w:val="20"/>
                      </w:rPr>
                      <w:t>35%</w:t>
                    </w:r>
                  </w:p>
                </w:txbxContent>
              </v:textbox>
              <w10:wrap type="none"/>
            </v:shape>
            <v:shape style="position:absolute;left:5575;top:2054;width:364;height:200" type="#_x0000_t202" filled="false" stroked="false">
              <v:textbox inset="0,0,0,0">
                <w:txbxContent>
                  <w:p>
                    <w:pPr>
                      <w:spacing w:line="192" w:lineRule="exact" w:before="0"/>
                      <w:ind w:left="0" w:right="0" w:firstLine="0"/>
                      <w:jc w:val="left"/>
                      <w:rPr>
                        <w:sz w:val="20"/>
                      </w:rPr>
                    </w:pPr>
                    <w:r>
                      <w:rPr>
                        <w:w w:val="85"/>
                        <w:sz w:val="20"/>
                      </w:rPr>
                      <w:t>25%</w:t>
                    </w:r>
                  </w:p>
                </w:txbxContent>
              </v:textbox>
              <w10:wrap type="none"/>
            </v:shape>
            <v:shape style="position:absolute;left:5680;top:2879;width:364;height:200" type="#_x0000_t202" filled="false" stroked="false">
              <v:textbox inset="0,0,0,0">
                <w:txbxContent>
                  <w:p>
                    <w:pPr>
                      <w:spacing w:line="192" w:lineRule="exact" w:before="0"/>
                      <w:ind w:left="0" w:right="0" w:firstLine="0"/>
                      <w:jc w:val="left"/>
                      <w:rPr>
                        <w:sz w:val="20"/>
                      </w:rPr>
                    </w:pPr>
                    <w:r>
                      <w:rPr>
                        <w:w w:val="85"/>
                        <w:sz w:val="20"/>
                      </w:rPr>
                      <w:t>17%</w:t>
                    </w:r>
                  </w:p>
                </w:txbxContent>
              </v:textbox>
              <w10:wrap type="none"/>
            </v:shape>
            <v:shape style="position:absolute;left:4840;top:3269;width:364;height:200" type="#_x0000_t202" filled="false" stroked="false">
              <v:textbox inset="0,0,0,0">
                <w:txbxContent>
                  <w:p>
                    <w:pPr>
                      <w:spacing w:line="192" w:lineRule="exact" w:before="0"/>
                      <w:ind w:left="0" w:right="0" w:firstLine="0"/>
                      <w:jc w:val="left"/>
                      <w:rPr>
                        <w:sz w:val="20"/>
                      </w:rPr>
                    </w:pPr>
                    <w:r>
                      <w:rPr>
                        <w:w w:val="85"/>
                        <w:sz w:val="20"/>
                      </w:rPr>
                      <w:t>23%</w:t>
                    </w:r>
                  </w:p>
                </w:txbxContent>
              </v:textbox>
              <w10:wrap type="none"/>
            </v:shape>
            <w10:wrap type="topAndBottom"/>
          </v:group>
        </w:pict>
      </w:r>
      <w:r>
        <w:rPr>
          <w:b/>
          <w:sz w:val="20"/>
        </w:rPr>
        <w:t>Figure 22: Year refurbishment</w:t>
      </w:r>
    </w:p>
    <w:p>
      <w:pPr>
        <w:pStyle w:val="BodyText"/>
        <w:rPr>
          <w:b/>
          <w:sz w:val="22"/>
        </w:rPr>
      </w:pPr>
    </w:p>
    <w:p>
      <w:pPr>
        <w:pStyle w:val="BodyText"/>
        <w:spacing w:before="9"/>
        <w:rPr>
          <w:b/>
          <w:sz w:val="22"/>
        </w:rPr>
      </w:pPr>
    </w:p>
    <w:p>
      <w:pPr>
        <w:pStyle w:val="BodyText"/>
        <w:spacing w:line="360" w:lineRule="auto"/>
        <w:ind w:left="110" w:right="94"/>
      </w:pPr>
      <w:r>
        <w:rPr/>
        <w:t>When asked about the condition of the facilities the majority (45%) were deemed to be in ‘good’ condition’, with only 4 facilities reported as being ‘in need of significant repair’.</w:t>
      </w:r>
    </w:p>
    <w:p>
      <w:pPr>
        <w:pStyle w:val="BodyText"/>
        <w:rPr>
          <w:sz w:val="36"/>
        </w:rPr>
      </w:pPr>
    </w:p>
    <w:p>
      <w:pPr>
        <w:spacing w:before="0"/>
        <w:ind w:left="110" w:right="0" w:firstLine="0"/>
        <w:jc w:val="both"/>
        <w:rPr>
          <w:b/>
          <w:sz w:val="20"/>
        </w:rPr>
      </w:pPr>
      <w:r>
        <w:rPr/>
        <w:pict>
          <v:group style="position:absolute;margin-left:79.574997pt;margin-top:17.064890pt;width:372.75pt;height:193.5pt;mso-position-horizontal-relative:page;mso-position-vertical-relative:paragraph;z-index:4096;mso-wrap-distance-left:0;mso-wrap-distance-right:0" coordorigin="1591,341" coordsize="7455,3870">
            <v:shape style="position:absolute;left:5163;top:1743;width:1010;height:1862" coordorigin="5164,1744" coordsize="1010,1862" path="m5164,1744l5164,2754,5707,3606,5769,3563,5827,3516,5880,3466,5930,3412,5974,3356,6015,3297,6051,3236,6083,3172,6109,3107,6132,3040,6149,2972,6162,2902,6170,2832,6173,2761,6171,2691,6164,2620,6152,2549,6135,2479,6113,2410,6085,2342,6052,2275,6014,2210,5969,2145,5919,2084,5865,2028,5808,1976,5746,1929,5682,1887,5614,1850,5544,1818,5472,1792,5397,1771,5320,1756,5243,1747,5164,1744xe" filled="true" fillcolor="#4f81bc" stroked="false">
              <v:path arrowok="t"/>
              <v:fill type="solid"/>
            </v:shape>
            <v:shape style="position:absolute;left:4154;top:2109;width:1553;height:1655" coordorigin="4155,2110" coordsize="1553,1655" path="m4386,2110l4340,2170,4300,2232,4264,2296,4233,2362,4208,2429,4187,2498,4172,2567,4161,2638,4155,2708,4155,2779,4159,2849,4168,2919,4182,2988,4200,3056,4224,3123,4252,3189,4285,3252,4323,3314,4365,3373,4412,3429,4464,3482,4520,3533,4581,3579,4645,3621,4711,3657,4779,3688,4848,3714,4920,3735,4992,3750,5065,3760,5138,3764,5212,3763,5286,3757,5359,3746,5431,3728,5503,3706,5572,3678,5641,3645,5707,3606,5164,2754,4386,2110xe" filled="true" fillcolor="#c0504d" stroked="false">
              <v:path arrowok="t"/>
              <v:fill type="solid"/>
            </v:shape>
            <v:shape style="position:absolute;left:4386;top:1765;width:778;height:989" coordorigin="4386,1765" coordsize="778,989" path="m4956,1765l4882,1784,4811,1808,4741,1837,4674,1870,4610,1909,4549,1953,4491,2001,4437,2053,4386,2110,5164,2754,4956,1765xe" filled="true" fillcolor="#9bba58" stroked="false">
              <v:path arrowok="t"/>
              <v:fill type="solid"/>
            </v:shape>
            <v:shape style="position:absolute;left:4955;top:1743;width:208;height:1011" coordorigin="4956,1744" coordsize="208,1011" path="m5164,1744l5111,1745,5059,1749,5007,1756,4956,1765,5164,2754,5164,1744xe" filled="true" fillcolor="#8063a1" stroked="false">
              <v:path arrowok="t"/>
              <v:fill type="solid"/>
            </v:shape>
            <v:rect style="position:absolute;left:2256;top:1215;width:113;height:111" filled="true" fillcolor="#4f81bc" stroked="false">
              <v:fill type="solid"/>
            </v:rect>
            <v:rect style="position:absolute;left:3420;top:1215;width:113;height:111" filled="true" fillcolor="#c0504d" stroked="false">
              <v:fill type="solid"/>
            </v:rect>
            <v:rect style="position:absolute;left:4296;top:1215;width:111;height:111" filled="true" fillcolor="#9bba58" stroked="false">
              <v:fill type="solid"/>
            </v:rect>
            <v:rect style="position:absolute;left:6079;top:1215;width:113;height:111" filled="true" fillcolor="#8063a1" stroked="false">
              <v:fill type="solid"/>
            </v:rect>
            <v:rect style="position:absolute;left:1599;top:348;width:7440;height:3855" filled="false" stroked="true" strokeweight=".75pt" strokecolor="#858585">
              <v:stroke dashstyle="solid"/>
            </v:rect>
            <v:shape style="position:absolute;left:3888;top:582;width:2490;height:281" type="#_x0000_t202" filled="false" stroked="false">
              <v:textbox inset="0,0,0,0">
                <w:txbxContent>
                  <w:p>
                    <w:pPr>
                      <w:spacing w:line="270" w:lineRule="exact" w:before="0"/>
                      <w:ind w:left="0" w:right="0" w:firstLine="0"/>
                      <w:jc w:val="left"/>
                      <w:rPr>
                        <w:b/>
                        <w:sz w:val="28"/>
                      </w:rPr>
                    </w:pPr>
                    <w:r>
                      <w:rPr>
                        <w:b/>
                        <w:w w:val="85"/>
                        <w:sz w:val="28"/>
                      </w:rPr>
                      <w:t>Condition of facilities</w:t>
                    </w:r>
                  </w:p>
                </w:txbxContent>
              </v:textbox>
              <w10:wrap type="none"/>
            </v:shape>
            <v:shape style="position:absolute;left:2411;top:1177;width:749;height:200" type="#_x0000_t202" filled="false" stroked="false">
              <v:textbox inset="0,0,0,0">
                <w:txbxContent>
                  <w:p>
                    <w:pPr>
                      <w:spacing w:line="192" w:lineRule="exact" w:before="0"/>
                      <w:ind w:left="0" w:right="0" w:firstLine="0"/>
                      <w:jc w:val="left"/>
                      <w:rPr>
                        <w:sz w:val="20"/>
                      </w:rPr>
                    </w:pPr>
                    <w:r>
                      <w:rPr>
                        <w:w w:val="90"/>
                        <w:sz w:val="20"/>
                      </w:rPr>
                      <w:t>Excellent</w:t>
                    </w:r>
                  </w:p>
                </w:txbxContent>
              </v:textbox>
              <w10:wrap type="none"/>
            </v:shape>
            <v:shape style="position:absolute;left:3576;top:1177;width:461;height:200" type="#_x0000_t202" filled="false" stroked="false">
              <v:textbox inset="0,0,0,0">
                <w:txbxContent>
                  <w:p>
                    <w:pPr>
                      <w:spacing w:line="192" w:lineRule="exact" w:before="0"/>
                      <w:ind w:left="0" w:right="0" w:firstLine="0"/>
                      <w:jc w:val="left"/>
                      <w:rPr>
                        <w:sz w:val="20"/>
                      </w:rPr>
                    </w:pPr>
                    <w:r>
                      <w:rPr>
                        <w:w w:val="90"/>
                        <w:sz w:val="20"/>
                      </w:rPr>
                      <w:t>Good</w:t>
                    </w:r>
                  </w:p>
                </w:txbxContent>
              </v:textbox>
              <w10:wrap type="none"/>
            </v:shape>
            <v:shape style="position:absolute;left:4451;top:1177;width:1367;height:567" type="#_x0000_t202" filled="false" stroked="false">
              <v:textbox inset="0,0,0,0">
                <w:txbxContent>
                  <w:p>
                    <w:pPr>
                      <w:spacing w:line="192" w:lineRule="exact" w:before="0"/>
                      <w:ind w:left="0" w:right="0" w:firstLine="0"/>
                      <w:jc w:val="left"/>
                      <w:rPr>
                        <w:sz w:val="20"/>
                      </w:rPr>
                    </w:pPr>
                    <w:r>
                      <w:rPr>
                        <w:sz w:val="20"/>
                      </w:rPr>
                      <w:t>In</w:t>
                    </w:r>
                    <w:r>
                      <w:rPr>
                        <w:spacing w:val="-39"/>
                        <w:sz w:val="20"/>
                      </w:rPr>
                      <w:t> </w:t>
                    </w:r>
                    <w:r>
                      <w:rPr>
                        <w:sz w:val="20"/>
                      </w:rPr>
                      <w:t>need</w:t>
                    </w:r>
                    <w:r>
                      <w:rPr>
                        <w:spacing w:val="-38"/>
                        <w:sz w:val="20"/>
                      </w:rPr>
                      <w:t> </w:t>
                    </w:r>
                    <w:r>
                      <w:rPr>
                        <w:sz w:val="20"/>
                      </w:rPr>
                      <w:t>of</w:t>
                    </w:r>
                    <w:r>
                      <w:rPr>
                        <w:spacing w:val="-39"/>
                        <w:sz w:val="20"/>
                      </w:rPr>
                      <w:t> </w:t>
                    </w:r>
                    <w:r>
                      <w:rPr>
                        <w:sz w:val="20"/>
                      </w:rPr>
                      <w:t>repair</w:t>
                    </w:r>
                  </w:p>
                  <w:p>
                    <w:pPr>
                      <w:spacing w:before="137"/>
                      <w:ind w:left="405" w:right="0" w:firstLine="0"/>
                      <w:jc w:val="left"/>
                      <w:rPr>
                        <w:sz w:val="20"/>
                      </w:rPr>
                    </w:pPr>
                    <w:r>
                      <w:rPr>
                        <w:w w:val="95"/>
                        <w:sz w:val="20"/>
                      </w:rPr>
                      <w:t>3%</w:t>
                    </w:r>
                  </w:p>
                </w:txbxContent>
              </v:textbox>
              <w10:wrap type="none"/>
            </v:shape>
            <v:shape style="position:absolute;left:6236;top:1177;width:2241;height:200" type="#_x0000_t202" filled="false" stroked="false">
              <v:textbox inset="0,0,0,0">
                <w:txbxContent>
                  <w:p>
                    <w:pPr>
                      <w:spacing w:line="192" w:lineRule="exact" w:before="0"/>
                      <w:ind w:left="0" w:right="0" w:firstLine="0"/>
                      <w:jc w:val="left"/>
                      <w:rPr>
                        <w:sz w:val="20"/>
                      </w:rPr>
                    </w:pPr>
                    <w:r>
                      <w:rPr>
                        <w:w w:val="95"/>
                        <w:sz w:val="20"/>
                      </w:rPr>
                      <w:t>In</w:t>
                    </w:r>
                    <w:r>
                      <w:rPr>
                        <w:spacing w:val="-19"/>
                        <w:w w:val="95"/>
                        <w:sz w:val="20"/>
                      </w:rPr>
                      <w:t> </w:t>
                    </w:r>
                    <w:r>
                      <w:rPr>
                        <w:w w:val="95"/>
                        <w:sz w:val="20"/>
                      </w:rPr>
                      <w:t>need</w:t>
                    </w:r>
                    <w:r>
                      <w:rPr>
                        <w:spacing w:val="-17"/>
                        <w:w w:val="95"/>
                        <w:sz w:val="20"/>
                      </w:rPr>
                      <w:t> </w:t>
                    </w:r>
                    <w:r>
                      <w:rPr>
                        <w:w w:val="95"/>
                        <w:sz w:val="20"/>
                      </w:rPr>
                      <w:t>of</w:t>
                    </w:r>
                    <w:r>
                      <w:rPr>
                        <w:spacing w:val="-19"/>
                        <w:w w:val="95"/>
                        <w:sz w:val="20"/>
                      </w:rPr>
                      <w:t> </w:t>
                    </w:r>
                    <w:r>
                      <w:rPr>
                        <w:w w:val="95"/>
                        <w:sz w:val="20"/>
                      </w:rPr>
                      <w:t>significant</w:t>
                    </w:r>
                    <w:r>
                      <w:rPr>
                        <w:spacing w:val="-16"/>
                        <w:w w:val="95"/>
                        <w:sz w:val="20"/>
                      </w:rPr>
                      <w:t> </w:t>
                    </w:r>
                    <w:r>
                      <w:rPr>
                        <w:w w:val="95"/>
                        <w:sz w:val="20"/>
                      </w:rPr>
                      <w:t>repair</w:t>
                    </w:r>
                  </w:p>
                </w:txbxContent>
              </v:textbox>
              <w10:wrap type="none"/>
            </v:shape>
            <v:shape style="position:absolute;left:4601;top:2040;width:364;height:200" type="#_x0000_t202" filled="false" stroked="false">
              <v:textbox inset="0,0,0,0">
                <w:txbxContent>
                  <w:p>
                    <w:pPr>
                      <w:spacing w:line="192" w:lineRule="exact" w:before="0"/>
                      <w:ind w:left="0" w:right="0" w:firstLine="0"/>
                      <w:jc w:val="left"/>
                      <w:rPr>
                        <w:sz w:val="20"/>
                      </w:rPr>
                    </w:pPr>
                    <w:r>
                      <w:rPr>
                        <w:w w:val="85"/>
                        <w:sz w:val="20"/>
                      </w:rPr>
                      <w:t>11%</w:t>
                    </w:r>
                  </w:p>
                </w:txbxContent>
              </v:textbox>
              <w10:wrap type="none"/>
            </v:shape>
            <v:shape style="position:absolute;left:5652;top:2415;width:364;height:200" type="#_x0000_t202" filled="false" stroked="false">
              <v:textbox inset="0,0,0,0">
                <w:txbxContent>
                  <w:p>
                    <w:pPr>
                      <w:spacing w:line="192" w:lineRule="exact" w:before="0"/>
                      <w:ind w:left="0" w:right="0" w:firstLine="0"/>
                      <w:jc w:val="left"/>
                      <w:rPr>
                        <w:sz w:val="20"/>
                      </w:rPr>
                    </w:pPr>
                    <w:r>
                      <w:rPr>
                        <w:w w:val="85"/>
                        <w:sz w:val="20"/>
                      </w:rPr>
                      <w:t>41%</w:t>
                    </w:r>
                  </w:p>
                </w:txbxContent>
              </v:textbox>
              <w10:wrap type="none"/>
            </v:shape>
            <v:shape style="position:absolute;left:4421;top:3135;width:364;height:200" type="#_x0000_t202" filled="false" stroked="false">
              <v:textbox inset="0,0,0,0">
                <w:txbxContent>
                  <w:p>
                    <w:pPr>
                      <w:spacing w:line="192" w:lineRule="exact" w:before="0"/>
                      <w:ind w:left="0" w:right="0" w:firstLine="0"/>
                      <w:jc w:val="left"/>
                      <w:rPr>
                        <w:sz w:val="20"/>
                      </w:rPr>
                    </w:pPr>
                    <w:r>
                      <w:rPr>
                        <w:w w:val="85"/>
                        <w:sz w:val="20"/>
                      </w:rPr>
                      <w:t>45%</w:t>
                    </w:r>
                  </w:p>
                </w:txbxContent>
              </v:textbox>
              <w10:wrap type="none"/>
            </v:shape>
            <w10:wrap type="topAndBottom"/>
          </v:group>
        </w:pict>
      </w:r>
      <w:r>
        <w:rPr>
          <w:b/>
          <w:sz w:val="20"/>
        </w:rPr>
        <w:t>Figure 23: Condition of facilities</w:t>
      </w:r>
    </w:p>
    <w:p>
      <w:pPr>
        <w:pStyle w:val="BodyText"/>
        <w:rPr>
          <w:b/>
          <w:sz w:val="22"/>
        </w:rPr>
      </w:pPr>
    </w:p>
    <w:p>
      <w:pPr>
        <w:pStyle w:val="BodyText"/>
        <w:spacing w:before="9"/>
        <w:rPr>
          <w:b/>
          <w:sz w:val="22"/>
        </w:rPr>
      </w:pPr>
    </w:p>
    <w:p>
      <w:pPr>
        <w:pStyle w:val="BodyText"/>
        <w:spacing w:line="360" w:lineRule="auto"/>
        <w:ind w:left="110" w:right="386"/>
        <w:jc w:val="both"/>
      </w:pPr>
      <w:r>
        <w:rPr/>
        <w:t>49% (59) of the facilities indicated that they have plans to develop their facility in the near future. 45 facilities stated the nature of these works, with 24 saying they plan to carry out refurbishment works and 21 saying they’d wish to extend.</w:t>
      </w:r>
    </w:p>
    <w:p>
      <w:pPr>
        <w:spacing w:after="0" w:line="360" w:lineRule="auto"/>
        <w:jc w:val="both"/>
        <w:sectPr>
          <w:pgSz w:w="11910" w:h="17340"/>
          <w:pgMar w:header="759" w:footer="1014" w:top="940" w:bottom="1200" w:left="1460" w:right="1020"/>
        </w:sectPr>
      </w:pPr>
    </w:p>
    <w:p>
      <w:pPr>
        <w:pStyle w:val="BodyText"/>
        <w:spacing w:before="7"/>
        <w:rPr>
          <w:sz w:val="15"/>
        </w:rPr>
      </w:pPr>
    </w:p>
    <w:p>
      <w:pPr>
        <w:pStyle w:val="BodyText"/>
        <w:spacing w:line="360" w:lineRule="auto" w:before="92"/>
        <w:ind w:left="110" w:right="675"/>
        <w:jc w:val="both"/>
      </w:pPr>
      <w:r>
        <w:rPr/>
        <w:t>Thirty three facilities provided an estimate of the budget needed to carry out</w:t>
      </w:r>
      <w:r>
        <w:rPr>
          <w:spacing w:val="-36"/>
        </w:rPr>
        <w:t> </w:t>
      </w:r>
      <w:r>
        <w:rPr/>
        <w:t>these works. Please refer to Appendix 12 to read see a full listing of the replies received ranging from €20,000 to</w:t>
      </w:r>
      <w:r>
        <w:rPr>
          <w:spacing w:val="-16"/>
        </w:rPr>
        <w:t> </w:t>
      </w:r>
      <w:r>
        <w:rPr/>
        <w:t>€250,000.</w:t>
      </w:r>
    </w:p>
    <w:p>
      <w:pPr>
        <w:pStyle w:val="BodyText"/>
        <w:spacing w:before="3"/>
        <w:rPr>
          <w:sz w:val="28"/>
        </w:rPr>
      </w:pPr>
    </w:p>
    <w:p>
      <w:pPr>
        <w:pStyle w:val="Heading3"/>
        <w:numPr>
          <w:ilvl w:val="1"/>
          <w:numId w:val="7"/>
        </w:numPr>
        <w:tabs>
          <w:tab w:pos="829" w:val="left" w:leader="none"/>
          <w:tab w:pos="830" w:val="left" w:leader="none"/>
          <w:tab w:pos="9349" w:val="left" w:leader="none"/>
        </w:tabs>
        <w:spacing w:line="240" w:lineRule="auto" w:before="92" w:after="0"/>
        <w:ind w:left="830" w:right="0" w:hanging="720"/>
        <w:jc w:val="left"/>
        <w:rPr>
          <w:u w:val="none"/>
        </w:rPr>
      </w:pPr>
      <w:r>
        <w:rPr>
          <w:shd w:fill="C5D9F0" w:color="auto" w:val="clear"/>
          <w:u w:val="none"/>
        </w:rPr>
        <w:t>Facilities</w:t>
      </w:r>
      <w:r>
        <w:rPr>
          <w:spacing w:val="-5"/>
          <w:shd w:fill="FFFFFF" w:color="auto" w:val="clear"/>
          <w:u w:val="none"/>
        </w:rPr>
        <w:t> </w:t>
      </w:r>
      <w:r>
        <w:rPr>
          <w:shd w:fill="C5D9F0" w:color="auto" w:val="clear"/>
          <w:u w:val="none"/>
        </w:rPr>
        <w:t>Users</w:t>
        <w:tab/>
      </w:r>
    </w:p>
    <w:p>
      <w:pPr>
        <w:pStyle w:val="BodyText"/>
        <w:rPr>
          <w:b/>
          <w:sz w:val="26"/>
        </w:rPr>
      </w:pPr>
    </w:p>
    <w:p>
      <w:pPr>
        <w:pStyle w:val="BodyText"/>
        <w:spacing w:before="11"/>
        <w:rPr>
          <w:b/>
          <w:sz w:val="21"/>
        </w:rPr>
      </w:pPr>
    </w:p>
    <w:p>
      <w:pPr>
        <w:pStyle w:val="BodyText"/>
        <w:spacing w:line="360" w:lineRule="auto"/>
        <w:ind w:left="110" w:right="308"/>
      </w:pPr>
      <w:r>
        <w:rPr/>
        <w:t>This section of the survey sought to identify who within the local community uses the facilities and investigate the diversity/equality policies and procedures the facilities adhere to. It also assessed how accessible the facilities are for those with disabilities.</w:t>
      </w:r>
    </w:p>
    <w:p>
      <w:pPr>
        <w:pStyle w:val="BodyText"/>
        <w:spacing w:before="1"/>
        <w:rPr>
          <w:sz w:val="36"/>
        </w:rPr>
      </w:pPr>
    </w:p>
    <w:p>
      <w:pPr>
        <w:pStyle w:val="BodyText"/>
        <w:spacing w:line="360" w:lineRule="auto" w:before="1"/>
        <w:ind w:left="110" w:right="146"/>
      </w:pPr>
      <w:r>
        <w:rPr/>
        <w:t>Figure 24 displays the primary target groups of the facilities. The vast majority (78%) make their premises available to the general community for use. 13% of the respondents replied ‘other’ to this question. These related to those premises which provide a particular service to a targeted community, such as for example, the disability sector or particular sporting group members. In other cases they were only available to particular religious communities, such as the Protestant or Presbyterian community. For a full listing of ‘other’ users of the facilities please refer to Appendix</w:t>
      </w:r>
      <w:r>
        <w:rPr>
          <w:spacing w:val="-26"/>
        </w:rPr>
        <w:t> </w:t>
      </w:r>
      <w:r>
        <w:rPr/>
        <w:t>13.</w:t>
      </w:r>
    </w:p>
    <w:p>
      <w:pPr>
        <w:pStyle w:val="BodyText"/>
        <w:rPr>
          <w:sz w:val="36"/>
        </w:rPr>
      </w:pPr>
    </w:p>
    <w:p>
      <w:pPr>
        <w:spacing w:before="1"/>
        <w:ind w:left="110" w:right="0" w:firstLine="0"/>
        <w:jc w:val="left"/>
        <w:rPr>
          <w:b/>
          <w:sz w:val="20"/>
        </w:rPr>
      </w:pPr>
      <w:r>
        <w:rPr/>
        <w:pict>
          <v:group style="position:absolute;margin-left:79.574997pt;margin-top:17.154882pt;width:394.5pt;height:218.25pt;mso-position-horizontal-relative:page;mso-position-vertical-relative:paragraph;z-index:4288;mso-wrap-distance-left:0;mso-wrap-distance-right:0" coordorigin="1591,343" coordsize="7890,4365">
            <v:shape style="position:absolute;left:4912;top:2054;width:2377;height:2377" coordorigin="4913,2054" coordsize="2377,2377" path="m4937,3005l4924,3079,4916,3153,4913,3226,4914,3299,4919,3371,4929,3442,4943,3512,4962,3580,4984,3647,5010,3713,5039,3776,5073,3838,5110,3898,5150,3955,5194,4010,5241,4062,5291,4112,5344,4158,5400,4202,5459,4242,5520,4279,5584,4312,5651,4342,5719,4368,5790,4389,5864,4406,5938,4419,6011,4427,6085,4430,6157,4429,6229,4424,6300,4414,6370,4400,6439,4382,6506,4359,6571,4333,6635,4304,6696,4270,6756,4233,6813,4193,6868,4149,6921,4102,6970,4052,7017,3999,7060,3943,7101,3884,7138,3823,7171,3759,7200,3693,7226,3624,7248,3553,7265,3480,7278,3406,7285,3332,7289,3258,7289,3242,6101,3242,4937,3005xm6101,2054l6101,3242,7289,3242,7288,3186,7282,3114,7272,3043,7258,2973,7240,2905,7218,2838,7192,2772,7162,2708,7129,2647,7092,2587,7051,2530,7008,2475,6961,2422,6911,2373,6857,2326,6802,2283,6743,2242,6681,2206,6617,2172,6551,2143,6482,2117,6411,2096,6338,2078,6279,2068,6220,2060,6160,2056,6101,2054xe" filled="true" fillcolor="#4f81bc" stroked="false">
              <v:path arrowok="t"/>
              <v:fill type="solid"/>
            </v:shape>
            <v:shape style="position:absolute;left:4905;top:2787;width:1164;height:417" coordorigin="4906,2788" coordsize="1164,417" path="m4957,2788l4942,2832,4928,2876,4916,2921,4906,2967,6070,3204,4957,2788xe" filled="true" fillcolor="#c0504d" stroked="false">
              <v:path arrowok="t"/>
              <v:fill type="solid"/>
            </v:shape>
            <v:shape style="position:absolute;left:4957;top:2671;width:1113;height:533" coordorigin="4957,2671" coordsize="1113,533" path="m5008,2671l4994,2700,4981,2729,4969,2758,4957,2788,6070,3204,5008,2671xe" filled="true" fillcolor="#9bba58" stroked="false">
              <v:path arrowok="t"/>
              <v:fill type="solid"/>
            </v:shape>
            <v:shape style="position:absolute;left:5007;top:2369;width:1062;height:835" coordorigin="5008,2369" coordsize="1062,835" path="m5224,2369l5173,2424,5126,2482,5083,2542,5043,2606,5008,2671,6070,3204,5224,2369xe" filled="true" fillcolor="#8063a1" stroked="false">
              <v:path arrowok="t"/>
              <v:fill type="solid"/>
            </v:shape>
            <v:shape style="position:absolute;left:5224;top:2015;width:846;height:1188" coordorigin="5224,2016" coordsize="846,1188" path="m6070,2016l5991,2019,5912,2026,5835,2039,5759,2057,5684,2080,5612,2108,5541,2140,5472,2177,5406,2219,5342,2265,5282,2315,5224,2369,6070,3204,6070,2016xe" filled="true" fillcolor="#4aacc5" stroked="false">
              <v:path arrowok="t"/>
              <v:fill type="solid"/>
            </v:shape>
            <v:shape style="position:absolute;left:4777;top:2671;width:203;height:59" coordorigin="4777,2671" coordsize="203,59" path="m4980,2730l4867,2671,4777,2671e" filled="false" stroked="true" strokeweight=".75pt" strokecolor="#000000">
              <v:path arrowok="t"/>
              <v:stroke dashstyle="solid"/>
            </v:shape>
            <v:rect style="position:absolute;left:2239;top:1118;width:113;height:113" filled="true" fillcolor="#4f81bc" stroked="false">
              <v:fill type="solid"/>
            </v:rect>
            <v:rect style="position:absolute;left:5608;top:1118;width:113;height:113" filled="true" fillcolor="#c0504d" stroked="false">
              <v:fill type="solid"/>
            </v:rect>
            <v:rect style="position:absolute;left:2239;top:1480;width:113;height:111" filled="true" fillcolor="#9bba58" stroked="false">
              <v:fill type="solid"/>
            </v:rect>
            <v:rect style="position:absolute;left:5608;top:1480;width:113;height:111" filled="true" fillcolor="#8063a1" stroked="false">
              <v:fill type="solid"/>
            </v:rect>
            <v:rect style="position:absolute;left:2239;top:1840;width:113;height:113" filled="true" fillcolor="#4aacc5" stroked="false">
              <v:fill type="solid"/>
            </v:rect>
            <v:rect style="position:absolute;left:1599;top:350;width:7875;height:4350" filled="false" stroked="true" strokeweight=".75pt" strokecolor="#858585">
              <v:stroke dashstyle="solid"/>
            </v:rect>
            <v:shape style="position:absolute;left:4236;top:557;width:2620;height:281" type="#_x0000_t202" filled="false" stroked="false">
              <v:textbox inset="0,0,0,0">
                <w:txbxContent>
                  <w:p>
                    <w:pPr>
                      <w:spacing w:line="270" w:lineRule="exact" w:before="0"/>
                      <w:ind w:left="0" w:right="0" w:firstLine="0"/>
                      <w:jc w:val="left"/>
                      <w:rPr>
                        <w:b/>
                        <w:sz w:val="28"/>
                      </w:rPr>
                    </w:pPr>
                    <w:r>
                      <w:rPr>
                        <w:b/>
                        <w:w w:val="85"/>
                        <w:sz w:val="28"/>
                      </w:rPr>
                      <w:t>Primary Target Groups</w:t>
                    </w:r>
                  </w:p>
                </w:txbxContent>
              </v:textbox>
              <w10:wrap type="none"/>
            </v:shape>
            <v:shape style="position:absolute;left:2395;top:1081;width:1788;height:923" type="#_x0000_t202" filled="false" stroked="false">
              <v:textbox inset="0,0,0,0">
                <w:txbxContent>
                  <w:p>
                    <w:pPr>
                      <w:spacing w:line="192" w:lineRule="exact" w:before="0"/>
                      <w:ind w:left="0" w:right="0" w:firstLine="0"/>
                      <w:jc w:val="left"/>
                      <w:rPr>
                        <w:sz w:val="20"/>
                      </w:rPr>
                    </w:pPr>
                    <w:r>
                      <w:rPr>
                        <w:w w:val="90"/>
                        <w:sz w:val="20"/>
                      </w:rPr>
                      <w:t>General Community</w:t>
                    </w:r>
                  </w:p>
                  <w:p>
                    <w:pPr>
                      <w:spacing w:before="132"/>
                      <w:ind w:left="0" w:right="0" w:firstLine="0"/>
                      <w:jc w:val="left"/>
                      <w:rPr>
                        <w:sz w:val="20"/>
                      </w:rPr>
                    </w:pPr>
                    <w:r>
                      <w:rPr>
                        <w:w w:val="90"/>
                        <w:sz w:val="20"/>
                      </w:rPr>
                      <w:t>Older People</w:t>
                    </w:r>
                  </w:p>
                  <w:p>
                    <w:pPr>
                      <w:spacing w:before="131"/>
                      <w:ind w:left="0" w:right="0" w:firstLine="0"/>
                      <w:jc w:val="left"/>
                      <w:rPr>
                        <w:sz w:val="20"/>
                      </w:rPr>
                    </w:pPr>
                    <w:r>
                      <w:rPr>
                        <w:w w:val="90"/>
                        <w:sz w:val="20"/>
                      </w:rPr>
                      <w:t>Other (please specify)</w:t>
                    </w:r>
                  </w:p>
                </w:txbxContent>
              </v:textbox>
              <w10:wrap type="none"/>
            </v:shape>
            <v:shape style="position:absolute;left:5764;top:1081;width:3164;height:562" type="#_x0000_t202" filled="false" stroked="false">
              <v:textbox inset="0,0,0,0">
                <w:txbxContent>
                  <w:p>
                    <w:pPr>
                      <w:spacing w:line="192" w:lineRule="exact" w:before="0"/>
                      <w:ind w:left="0" w:right="0" w:firstLine="0"/>
                      <w:jc w:val="left"/>
                      <w:rPr>
                        <w:sz w:val="20"/>
                      </w:rPr>
                    </w:pPr>
                    <w:r>
                      <w:rPr>
                        <w:w w:val="90"/>
                        <w:sz w:val="20"/>
                      </w:rPr>
                      <w:t>Young People</w:t>
                    </w:r>
                  </w:p>
                  <w:p>
                    <w:pPr>
                      <w:spacing w:before="132"/>
                      <w:ind w:left="0" w:right="0" w:firstLine="0"/>
                      <w:jc w:val="left"/>
                      <w:rPr>
                        <w:sz w:val="20"/>
                      </w:rPr>
                    </w:pPr>
                    <w:r>
                      <w:rPr>
                        <w:w w:val="95"/>
                        <w:sz w:val="20"/>
                      </w:rPr>
                      <w:t>Only</w:t>
                    </w:r>
                    <w:r>
                      <w:rPr>
                        <w:spacing w:val="-32"/>
                        <w:w w:val="95"/>
                        <w:sz w:val="20"/>
                      </w:rPr>
                      <w:t> </w:t>
                    </w:r>
                    <w:r>
                      <w:rPr>
                        <w:w w:val="95"/>
                        <w:sz w:val="20"/>
                      </w:rPr>
                      <w:t>service</w:t>
                    </w:r>
                    <w:r>
                      <w:rPr>
                        <w:spacing w:val="-30"/>
                        <w:w w:val="95"/>
                        <w:sz w:val="20"/>
                      </w:rPr>
                      <w:t> </w:t>
                    </w:r>
                    <w:r>
                      <w:rPr>
                        <w:w w:val="95"/>
                        <w:sz w:val="20"/>
                      </w:rPr>
                      <w:t>users</w:t>
                    </w:r>
                    <w:r>
                      <w:rPr>
                        <w:spacing w:val="-31"/>
                        <w:w w:val="95"/>
                        <w:sz w:val="20"/>
                      </w:rPr>
                      <w:t> </w:t>
                    </w:r>
                    <w:r>
                      <w:rPr>
                        <w:w w:val="95"/>
                        <w:sz w:val="20"/>
                      </w:rPr>
                      <w:t>of</w:t>
                    </w:r>
                    <w:r>
                      <w:rPr>
                        <w:spacing w:val="-32"/>
                        <w:w w:val="95"/>
                        <w:sz w:val="20"/>
                      </w:rPr>
                      <w:t> </w:t>
                    </w:r>
                    <w:r>
                      <w:rPr>
                        <w:w w:val="95"/>
                        <w:sz w:val="20"/>
                      </w:rPr>
                      <w:t>your</w:t>
                    </w:r>
                    <w:r>
                      <w:rPr>
                        <w:spacing w:val="-32"/>
                        <w:w w:val="95"/>
                        <w:sz w:val="20"/>
                      </w:rPr>
                      <w:t> </w:t>
                    </w:r>
                    <w:r>
                      <w:rPr>
                        <w:w w:val="95"/>
                        <w:sz w:val="20"/>
                      </w:rPr>
                      <w:t>organisation</w:t>
                    </w:r>
                  </w:p>
                </w:txbxContent>
              </v:textbox>
              <w10:wrap type="none"/>
            </v:shape>
            <v:shape style="position:absolute;left:4809;top:2297;width:264;height:200" type="#_x0000_t202" filled="false" stroked="false">
              <v:textbox inset="0,0,0,0">
                <w:txbxContent>
                  <w:p>
                    <w:pPr>
                      <w:spacing w:line="192" w:lineRule="exact" w:before="0"/>
                      <w:ind w:left="0" w:right="0" w:firstLine="0"/>
                      <w:jc w:val="left"/>
                      <w:rPr>
                        <w:sz w:val="20"/>
                      </w:rPr>
                    </w:pPr>
                    <w:r>
                      <w:rPr>
                        <w:w w:val="85"/>
                        <w:sz w:val="20"/>
                      </w:rPr>
                      <w:t>5%</w:t>
                    </w:r>
                  </w:p>
                </w:txbxContent>
              </v:textbox>
              <w10:wrap type="none"/>
            </v:shape>
            <v:shape style="position:absolute;left:5545;top:2267;width:364;height:200" type="#_x0000_t202" filled="false" stroked="false">
              <v:textbox inset="0,0,0,0">
                <w:txbxContent>
                  <w:p>
                    <w:pPr>
                      <w:spacing w:line="192" w:lineRule="exact" w:before="0"/>
                      <w:ind w:left="0" w:right="0" w:firstLine="0"/>
                      <w:jc w:val="left"/>
                      <w:rPr>
                        <w:sz w:val="20"/>
                      </w:rPr>
                    </w:pPr>
                    <w:r>
                      <w:rPr>
                        <w:w w:val="85"/>
                        <w:sz w:val="20"/>
                      </w:rPr>
                      <w:t>13%</w:t>
                    </w:r>
                  </w:p>
                </w:txbxContent>
              </v:textbox>
              <w10:wrap type="none"/>
            </v:shape>
            <v:shape style="position:absolute;left:4494;top:2537;width:354;height:575" type="#_x0000_t202" filled="false" stroked="false">
              <v:textbox inset="0,0,0,0">
                <w:txbxContent>
                  <w:p>
                    <w:pPr>
                      <w:spacing w:line="192" w:lineRule="exact" w:before="0"/>
                      <w:ind w:left="0" w:right="0" w:firstLine="0"/>
                      <w:jc w:val="left"/>
                      <w:rPr>
                        <w:sz w:val="20"/>
                      </w:rPr>
                    </w:pPr>
                    <w:r>
                      <w:rPr>
                        <w:w w:val="95"/>
                        <w:sz w:val="20"/>
                      </w:rPr>
                      <w:t>2%</w:t>
                    </w:r>
                  </w:p>
                  <w:p>
                    <w:pPr>
                      <w:spacing w:before="145"/>
                      <w:ind w:left="90" w:right="0" w:firstLine="0"/>
                      <w:jc w:val="left"/>
                      <w:rPr>
                        <w:sz w:val="20"/>
                      </w:rPr>
                    </w:pPr>
                    <w:r>
                      <w:rPr>
                        <w:w w:val="85"/>
                        <w:sz w:val="20"/>
                      </w:rPr>
                      <w:t>2%</w:t>
                    </w:r>
                  </w:p>
                </w:txbxContent>
              </v:textbox>
              <w10:wrap type="none"/>
            </v:shape>
            <v:shape style="position:absolute;left:6535;top:3827;width:364;height:200" type="#_x0000_t202" filled="false" stroked="false">
              <v:textbox inset="0,0,0,0">
                <w:txbxContent>
                  <w:p>
                    <w:pPr>
                      <w:spacing w:line="192" w:lineRule="exact" w:before="0"/>
                      <w:ind w:left="0" w:right="0" w:firstLine="0"/>
                      <w:jc w:val="left"/>
                      <w:rPr>
                        <w:sz w:val="20"/>
                      </w:rPr>
                    </w:pPr>
                    <w:r>
                      <w:rPr>
                        <w:w w:val="85"/>
                        <w:sz w:val="20"/>
                      </w:rPr>
                      <w:t>78%</w:t>
                    </w:r>
                  </w:p>
                </w:txbxContent>
              </v:textbox>
              <w10:wrap type="none"/>
            </v:shape>
            <w10:wrap type="topAndBottom"/>
          </v:group>
        </w:pict>
      </w:r>
      <w:r>
        <w:rPr>
          <w:b/>
          <w:sz w:val="20"/>
        </w:rPr>
        <w:t>Figure 24: Primary Target Groups</w:t>
      </w:r>
    </w:p>
    <w:p>
      <w:pPr>
        <w:pStyle w:val="BodyText"/>
        <w:rPr>
          <w:b/>
          <w:sz w:val="22"/>
        </w:rPr>
      </w:pPr>
    </w:p>
    <w:p>
      <w:pPr>
        <w:pStyle w:val="BodyText"/>
        <w:spacing w:before="10"/>
        <w:rPr>
          <w:b/>
          <w:sz w:val="22"/>
        </w:rPr>
      </w:pPr>
    </w:p>
    <w:p>
      <w:pPr>
        <w:pStyle w:val="Heading3"/>
        <w:rPr>
          <w:u w:val="none"/>
        </w:rPr>
      </w:pPr>
      <w:r>
        <w:rPr>
          <w:u w:val="none"/>
        </w:rPr>
        <w:t>Diversity/Equality</w:t>
      </w:r>
    </w:p>
    <w:p>
      <w:pPr>
        <w:pStyle w:val="BodyText"/>
        <w:spacing w:line="360" w:lineRule="auto" w:before="136"/>
        <w:ind w:left="110" w:right="153"/>
        <w:jc w:val="both"/>
      </w:pPr>
      <w:r>
        <w:rPr/>
        <w:t>The Equal Status Act 2000 takes the concept of equality identified in the Employment Equality Act 1998 beyond discrimination in the workplace and into the public arena where people buy goods, use services, obtain accommodation and attend educational</w:t>
      </w:r>
    </w:p>
    <w:p>
      <w:pPr>
        <w:spacing w:after="0" w:line="360" w:lineRule="auto"/>
        <w:jc w:val="both"/>
        <w:sectPr>
          <w:pgSz w:w="11910" w:h="17340"/>
          <w:pgMar w:header="759" w:footer="1014" w:top="940" w:bottom="1200" w:left="1460" w:right="980"/>
        </w:sectPr>
      </w:pPr>
    </w:p>
    <w:p>
      <w:pPr>
        <w:pStyle w:val="BodyText"/>
        <w:spacing w:before="7"/>
        <w:rPr>
          <w:sz w:val="15"/>
        </w:rPr>
      </w:pPr>
    </w:p>
    <w:p>
      <w:pPr>
        <w:pStyle w:val="BodyText"/>
        <w:spacing w:line="360" w:lineRule="auto" w:before="92"/>
        <w:ind w:left="230" w:right="227"/>
        <w:jc w:val="both"/>
      </w:pPr>
      <w:r>
        <w:rPr/>
        <w:t>establishments. These acts prohibit discrimination on nine grounds: Gender, Marital Status, Family Status, Sexual Orientation, Religious Belief, Age, Disability, Race, and Membership of the Traveller Community.</w:t>
      </w:r>
    </w:p>
    <w:p>
      <w:pPr>
        <w:pStyle w:val="BodyText"/>
        <w:spacing w:line="360" w:lineRule="auto" w:before="201"/>
        <w:ind w:left="230" w:right="226"/>
        <w:jc w:val="both"/>
      </w:pPr>
      <w:r>
        <w:rPr/>
        <w:t>In relation to community and sports facilities this would impact by refusing membership, terminating membership or providing alternative terms of membership. The questionnaire sought to determine what provisions the facilities had to the</w:t>
      </w:r>
      <w:r>
        <w:rPr>
          <w:spacing w:val="-34"/>
        </w:rPr>
        <w:t> </w:t>
      </w:r>
      <w:r>
        <w:rPr/>
        <w:t>above.</w:t>
      </w:r>
    </w:p>
    <w:p>
      <w:pPr>
        <w:pStyle w:val="BodyText"/>
        <w:spacing w:line="360" w:lineRule="auto" w:before="204"/>
        <w:ind w:left="230" w:right="401"/>
      </w:pPr>
      <w:r>
        <w:rPr/>
        <w:t>Forty nine percent of respondents monitor the diversity of people using their facilities. 27% have an equal usage policy. 57% offer special discounts for disadvantaged groups or low income groups.</w:t>
      </w:r>
    </w:p>
    <w:p>
      <w:pPr>
        <w:pStyle w:val="BodyText"/>
        <w:rPr>
          <w:sz w:val="36"/>
        </w:rPr>
      </w:pPr>
    </w:p>
    <w:p>
      <w:pPr>
        <w:spacing w:before="0"/>
        <w:ind w:left="230" w:right="0" w:firstLine="0"/>
        <w:jc w:val="left"/>
        <w:rPr>
          <w:b/>
          <w:sz w:val="20"/>
        </w:rPr>
      </w:pPr>
      <w:r>
        <w:rPr>
          <w:b/>
          <w:sz w:val="20"/>
        </w:rPr>
        <w:t>Table 4: Diversity/Equality Procedures</w:t>
      </w:r>
    </w:p>
    <w:p>
      <w:pPr>
        <w:pStyle w:val="BodyText"/>
        <w:spacing w:before="5"/>
        <w:rPr>
          <w:b/>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5"/>
        <w:gridCol w:w="2977"/>
        <w:gridCol w:w="2655"/>
      </w:tblGrid>
      <w:tr>
        <w:trPr>
          <w:trHeight w:val="400" w:hRule="atLeast"/>
        </w:trPr>
        <w:tc>
          <w:tcPr>
            <w:tcW w:w="3795" w:type="dxa"/>
            <w:shd w:val="clear" w:color="auto" w:fill="C5D9F0"/>
          </w:tcPr>
          <w:p>
            <w:pPr>
              <w:pStyle w:val="TableParagraph"/>
              <w:spacing w:line="274" w:lineRule="exact"/>
              <w:ind w:left="189"/>
              <w:rPr>
                <w:b/>
                <w:sz w:val="24"/>
              </w:rPr>
            </w:pPr>
            <w:r>
              <w:rPr>
                <w:b/>
                <w:sz w:val="24"/>
              </w:rPr>
              <w:t>Diversity/Equality Procedures</w:t>
            </w:r>
          </w:p>
        </w:tc>
        <w:tc>
          <w:tcPr>
            <w:tcW w:w="2977" w:type="dxa"/>
            <w:shd w:val="clear" w:color="auto" w:fill="C5D9F0"/>
          </w:tcPr>
          <w:p>
            <w:pPr>
              <w:pStyle w:val="TableParagraph"/>
              <w:spacing w:line="274" w:lineRule="exact"/>
              <w:ind w:left="1010" w:right="1010"/>
              <w:jc w:val="center"/>
              <w:rPr>
                <w:b/>
                <w:sz w:val="24"/>
              </w:rPr>
            </w:pPr>
            <w:r>
              <w:rPr>
                <w:b/>
                <w:sz w:val="24"/>
              </w:rPr>
              <w:t>Number</w:t>
            </w:r>
          </w:p>
        </w:tc>
        <w:tc>
          <w:tcPr>
            <w:tcW w:w="2655" w:type="dxa"/>
            <w:shd w:val="clear" w:color="auto" w:fill="C5D9F0"/>
          </w:tcPr>
          <w:p>
            <w:pPr>
              <w:pStyle w:val="TableParagraph"/>
              <w:spacing w:line="274" w:lineRule="exact"/>
              <w:ind w:left="655" w:right="655"/>
              <w:jc w:val="center"/>
              <w:rPr>
                <w:b/>
                <w:sz w:val="24"/>
              </w:rPr>
            </w:pPr>
            <w:r>
              <w:rPr>
                <w:b/>
                <w:sz w:val="24"/>
              </w:rPr>
              <w:t>Percentage</w:t>
            </w:r>
          </w:p>
        </w:tc>
      </w:tr>
      <w:tr>
        <w:trPr>
          <w:trHeight w:val="400" w:hRule="atLeast"/>
        </w:trPr>
        <w:tc>
          <w:tcPr>
            <w:tcW w:w="3795" w:type="dxa"/>
          </w:tcPr>
          <w:p>
            <w:pPr>
              <w:pStyle w:val="TableParagraph"/>
              <w:spacing w:line="274" w:lineRule="exact"/>
              <w:ind w:left="102"/>
              <w:rPr>
                <w:sz w:val="24"/>
              </w:rPr>
            </w:pPr>
            <w:r>
              <w:rPr>
                <w:sz w:val="24"/>
              </w:rPr>
              <w:t>Monitor the diversity of people</w:t>
            </w:r>
          </w:p>
        </w:tc>
        <w:tc>
          <w:tcPr>
            <w:tcW w:w="2977" w:type="dxa"/>
          </w:tcPr>
          <w:p>
            <w:pPr>
              <w:pStyle w:val="TableParagraph"/>
              <w:spacing w:line="274" w:lineRule="exact"/>
              <w:ind w:left="1010" w:right="1010"/>
              <w:jc w:val="center"/>
              <w:rPr>
                <w:sz w:val="24"/>
              </w:rPr>
            </w:pPr>
            <w:r>
              <w:rPr>
                <w:sz w:val="24"/>
              </w:rPr>
              <w:t>59</w:t>
            </w:r>
          </w:p>
        </w:tc>
        <w:tc>
          <w:tcPr>
            <w:tcW w:w="2655" w:type="dxa"/>
          </w:tcPr>
          <w:p>
            <w:pPr>
              <w:pStyle w:val="TableParagraph"/>
              <w:spacing w:line="274" w:lineRule="exact"/>
              <w:ind w:left="654" w:right="655"/>
              <w:jc w:val="center"/>
              <w:rPr>
                <w:sz w:val="24"/>
              </w:rPr>
            </w:pPr>
            <w:r>
              <w:rPr>
                <w:sz w:val="24"/>
              </w:rPr>
              <w:t>49%</w:t>
            </w:r>
          </w:p>
        </w:tc>
      </w:tr>
      <w:tr>
        <w:trPr>
          <w:trHeight w:val="420" w:hRule="atLeast"/>
        </w:trPr>
        <w:tc>
          <w:tcPr>
            <w:tcW w:w="3795" w:type="dxa"/>
          </w:tcPr>
          <w:p>
            <w:pPr>
              <w:pStyle w:val="TableParagraph"/>
              <w:spacing w:line="274" w:lineRule="exact"/>
              <w:ind w:left="102"/>
              <w:rPr>
                <w:sz w:val="24"/>
              </w:rPr>
            </w:pPr>
            <w:r>
              <w:rPr>
                <w:sz w:val="24"/>
              </w:rPr>
              <w:t>Equal usage policy</w:t>
            </w:r>
          </w:p>
        </w:tc>
        <w:tc>
          <w:tcPr>
            <w:tcW w:w="2977" w:type="dxa"/>
          </w:tcPr>
          <w:p>
            <w:pPr>
              <w:pStyle w:val="TableParagraph"/>
              <w:spacing w:line="274" w:lineRule="exact"/>
              <w:ind w:left="1010" w:right="1010"/>
              <w:jc w:val="center"/>
              <w:rPr>
                <w:sz w:val="24"/>
              </w:rPr>
            </w:pPr>
            <w:r>
              <w:rPr>
                <w:sz w:val="24"/>
              </w:rPr>
              <w:t>33</w:t>
            </w:r>
          </w:p>
        </w:tc>
        <w:tc>
          <w:tcPr>
            <w:tcW w:w="2655" w:type="dxa"/>
          </w:tcPr>
          <w:p>
            <w:pPr>
              <w:pStyle w:val="TableParagraph"/>
              <w:spacing w:line="274" w:lineRule="exact"/>
              <w:ind w:left="654" w:right="655"/>
              <w:jc w:val="center"/>
              <w:rPr>
                <w:sz w:val="24"/>
              </w:rPr>
            </w:pPr>
            <w:r>
              <w:rPr>
                <w:sz w:val="24"/>
              </w:rPr>
              <w:t>27%</w:t>
            </w:r>
          </w:p>
        </w:tc>
      </w:tr>
      <w:tr>
        <w:trPr>
          <w:trHeight w:val="400" w:hRule="atLeast"/>
        </w:trPr>
        <w:tc>
          <w:tcPr>
            <w:tcW w:w="3795" w:type="dxa"/>
          </w:tcPr>
          <w:p>
            <w:pPr>
              <w:pStyle w:val="TableParagraph"/>
              <w:spacing w:line="274" w:lineRule="exact"/>
              <w:ind w:left="102"/>
              <w:rPr>
                <w:sz w:val="24"/>
              </w:rPr>
            </w:pPr>
            <w:r>
              <w:rPr>
                <w:sz w:val="24"/>
              </w:rPr>
              <w:t>Offer special discounts</w:t>
            </w:r>
          </w:p>
        </w:tc>
        <w:tc>
          <w:tcPr>
            <w:tcW w:w="2977" w:type="dxa"/>
          </w:tcPr>
          <w:p>
            <w:pPr>
              <w:pStyle w:val="TableParagraph"/>
              <w:spacing w:line="274" w:lineRule="exact"/>
              <w:ind w:left="1010" w:right="1010"/>
              <w:jc w:val="center"/>
              <w:rPr>
                <w:sz w:val="24"/>
              </w:rPr>
            </w:pPr>
            <w:r>
              <w:rPr>
                <w:sz w:val="24"/>
              </w:rPr>
              <w:t>66</w:t>
            </w:r>
          </w:p>
        </w:tc>
        <w:tc>
          <w:tcPr>
            <w:tcW w:w="2655" w:type="dxa"/>
          </w:tcPr>
          <w:p>
            <w:pPr>
              <w:pStyle w:val="TableParagraph"/>
              <w:spacing w:line="274" w:lineRule="exact"/>
              <w:ind w:left="654" w:right="655"/>
              <w:jc w:val="center"/>
              <w:rPr>
                <w:sz w:val="24"/>
              </w:rPr>
            </w:pPr>
            <w:r>
              <w:rPr>
                <w:sz w:val="24"/>
              </w:rPr>
              <w:t>57%</w:t>
            </w:r>
          </w:p>
        </w:tc>
      </w:tr>
    </w:tbl>
    <w:p>
      <w:pPr>
        <w:pStyle w:val="BodyText"/>
        <w:rPr>
          <w:b/>
          <w:sz w:val="22"/>
        </w:rPr>
      </w:pPr>
    </w:p>
    <w:p>
      <w:pPr>
        <w:pStyle w:val="Heading3"/>
        <w:spacing w:before="160"/>
        <w:ind w:left="230"/>
        <w:rPr>
          <w:u w:val="none"/>
        </w:rPr>
      </w:pPr>
      <w:r>
        <w:rPr>
          <w:u w:val="none"/>
        </w:rPr>
        <w:t>Accessibility</w:t>
      </w:r>
    </w:p>
    <w:p>
      <w:pPr>
        <w:pStyle w:val="BodyText"/>
        <w:spacing w:line="360" w:lineRule="auto" w:before="136"/>
        <w:ind w:left="230" w:right="441"/>
      </w:pPr>
      <w:r>
        <w:rPr/>
        <w:t>To determine how accessible the facilities audited were, the questionnaire requested information on whether they made reasonable provision for people with disabilities.</w:t>
      </w:r>
    </w:p>
    <w:p>
      <w:pPr>
        <w:pStyle w:val="BodyText"/>
        <w:spacing w:line="360" w:lineRule="auto" w:before="2"/>
        <w:ind w:left="230" w:right="308"/>
      </w:pPr>
      <w:r>
        <w:rPr/>
        <w:t>The majority of the facilities positively responded, with 85% stating that their facility is wheelchair accessible. These facilities were asked to describe further the type of accessible features available at their premises and the results received can be read in Table 5 below.</w:t>
      </w:r>
    </w:p>
    <w:p>
      <w:pPr>
        <w:pStyle w:val="BodyText"/>
        <w:rPr>
          <w:sz w:val="30"/>
        </w:rPr>
      </w:pPr>
    </w:p>
    <w:p>
      <w:pPr>
        <w:spacing w:before="0"/>
        <w:ind w:left="230" w:right="0" w:firstLine="0"/>
        <w:jc w:val="left"/>
        <w:rPr>
          <w:b/>
          <w:sz w:val="20"/>
        </w:rPr>
      </w:pPr>
      <w:r>
        <w:rPr>
          <w:b/>
          <w:sz w:val="20"/>
        </w:rPr>
        <w:t>Table 5: Accessibility</w:t>
      </w:r>
    </w:p>
    <w:p>
      <w:pPr>
        <w:pStyle w:val="BodyText"/>
        <w:spacing w:before="5"/>
        <w:rPr>
          <w:b/>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2"/>
        <w:gridCol w:w="2125"/>
        <w:gridCol w:w="2230"/>
      </w:tblGrid>
      <w:tr>
        <w:trPr>
          <w:trHeight w:val="400" w:hRule="atLeast"/>
        </w:trPr>
        <w:tc>
          <w:tcPr>
            <w:tcW w:w="5072" w:type="dxa"/>
            <w:shd w:val="clear" w:color="auto" w:fill="C5D9F0"/>
          </w:tcPr>
          <w:p>
            <w:pPr>
              <w:pStyle w:val="TableParagraph"/>
              <w:spacing w:line="274" w:lineRule="exact"/>
              <w:ind w:left="1259"/>
              <w:rPr>
                <w:b/>
                <w:sz w:val="24"/>
              </w:rPr>
            </w:pPr>
            <w:r>
              <w:rPr>
                <w:b/>
                <w:sz w:val="24"/>
              </w:rPr>
              <w:t>Accessibility Features</w:t>
            </w:r>
          </w:p>
        </w:tc>
        <w:tc>
          <w:tcPr>
            <w:tcW w:w="2125" w:type="dxa"/>
            <w:shd w:val="clear" w:color="auto" w:fill="C5D9F0"/>
          </w:tcPr>
          <w:p>
            <w:pPr>
              <w:pStyle w:val="TableParagraph"/>
              <w:spacing w:line="274" w:lineRule="exact"/>
              <w:ind w:left="583" w:right="584"/>
              <w:jc w:val="center"/>
              <w:rPr>
                <w:b/>
                <w:sz w:val="24"/>
              </w:rPr>
            </w:pPr>
            <w:r>
              <w:rPr>
                <w:b/>
                <w:sz w:val="24"/>
              </w:rPr>
              <w:t>Number</w:t>
            </w:r>
          </w:p>
        </w:tc>
        <w:tc>
          <w:tcPr>
            <w:tcW w:w="2230" w:type="dxa"/>
            <w:shd w:val="clear" w:color="auto" w:fill="C5D9F0"/>
          </w:tcPr>
          <w:p>
            <w:pPr>
              <w:pStyle w:val="TableParagraph"/>
              <w:spacing w:line="274" w:lineRule="exact"/>
              <w:ind w:left="442" w:right="444"/>
              <w:jc w:val="center"/>
              <w:rPr>
                <w:b/>
                <w:sz w:val="24"/>
              </w:rPr>
            </w:pPr>
            <w:r>
              <w:rPr>
                <w:b/>
                <w:sz w:val="24"/>
              </w:rPr>
              <w:t>Percentage</w:t>
            </w:r>
          </w:p>
        </w:tc>
      </w:tr>
      <w:tr>
        <w:trPr>
          <w:trHeight w:val="400" w:hRule="atLeast"/>
        </w:trPr>
        <w:tc>
          <w:tcPr>
            <w:tcW w:w="5072" w:type="dxa"/>
          </w:tcPr>
          <w:p>
            <w:pPr>
              <w:pStyle w:val="TableParagraph"/>
              <w:spacing w:line="240" w:lineRule="auto"/>
              <w:ind w:left="102"/>
              <w:rPr>
                <w:sz w:val="24"/>
              </w:rPr>
            </w:pPr>
            <w:r>
              <w:rPr>
                <w:sz w:val="24"/>
              </w:rPr>
              <w:t>Designated parking spaces</w:t>
            </w:r>
          </w:p>
        </w:tc>
        <w:tc>
          <w:tcPr>
            <w:tcW w:w="2125" w:type="dxa"/>
          </w:tcPr>
          <w:p>
            <w:pPr>
              <w:pStyle w:val="TableParagraph"/>
              <w:spacing w:line="240" w:lineRule="auto"/>
              <w:ind w:left="582" w:right="584"/>
              <w:jc w:val="center"/>
              <w:rPr>
                <w:sz w:val="24"/>
              </w:rPr>
            </w:pPr>
            <w:r>
              <w:rPr>
                <w:sz w:val="24"/>
              </w:rPr>
              <w:t>55</w:t>
            </w:r>
          </w:p>
        </w:tc>
        <w:tc>
          <w:tcPr>
            <w:tcW w:w="2230" w:type="dxa"/>
          </w:tcPr>
          <w:p>
            <w:pPr>
              <w:pStyle w:val="TableParagraph"/>
              <w:spacing w:line="240" w:lineRule="auto"/>
              <w:ind w:left="442" w:right="442"/>
              <w:jc w:val="center"/>
              <w:rPr>
                <w:sz w:val="24"/>
              </w:rPr>
            </w:pPr>
            <w:r>
              <w:rPr>
                <w:sz w:val="24"/>
              </w:rPr>
              <w:t>51%</w:t>
            </w:r>
          </w:p>
        </w:tc>
      </w:tr>
      <w:tr>
        <w:trPr>
          <w:trHeight w:val="400" w:hRule="atLeast"/>
        </w:trPr>
        <w:tc>
          <w:tcPr>
            <w:tcW w:w="5072" w:type="dxa"/>
          </w:tcPr>
          <w:p>
            <w:pPr>
              <w:pStyle w:val="TableParagraph"/>
              <w:spacing w:line="274" w:lineRule="exact"/>
              <w:ind w:left="102"/>
              <w:rPr>
                <w:sz w:val="24"/>
              </w:rPr>
            </w:pPr>
            <w:r>
              <w:rPr>
                <w:sz w:val="24"/>
              </w:rPr>
              <w:t>An accessible route (car park to entrance)</w:t>
            </w:r>
          </w:p>
        </w:tc>
        <w:tc>
          <w:tcPr>
            <w:tcW w:w="2125" w:type="dxa"/>
          </w:tcPr>
          <w:p>
            <w:pPr>
              <w:pStyle w:val="TableParagraph"/>
              <w:spacing w:line="274" w:lineRule="exact"/>
              <w:ind w:left="582" w:right="584"/>
              <w:jc w:val="center"/>
              <w:rPr>
                <w:sz w:val="24"/>
              </w:rPr>
            </w:pPr>
            <w:r>
              <w:rPr>
                <w:sz w:val="24"/>
              </w:rPr>
              <w:t>105</w:t>
            </w:r>
          </w:p>
        </w:tc>
        <w:tc>
          <w:tcPr>
            <w:tcW w:w="2230" w:type="dxa"/>
          </w:tcPr>
          <w:p>
            <w:pPr>
              <w:pStyle w:val="TableParagraph"/>
              <w:spacing w:line="274" w:lineRule="exact"/>
              <w:ind w:left="442" w:right="442"/>
              <w:jc w:val="center"/>
              <w:rPr>
                <w:sz w:val="24"/>
              </w:rPr>
            </w:pPr>
            <w:r>
              <w:rPr>
                <w:sz w:val="24"/>
              </w:rPr>
              <w:t>93%</w:t>
            </w:r>
          </w:p>
        </w:tc>
      </w:tr>
      <w:tr>
        <w:trPr>
          <w:trHeight w:val="400" w:hRule="atLeast"/>
        </w:trPr>
        <w:tc>
          <w:tcPr>
            <w:tcW w:w="5072" w:type="dxa"/>
          </w:tcPr>
          <w:p>
            <w:pPr>
              <w:pStyle w:val="TableParagraph"/>
              <w:spacing w:line="274" w:lineRule="exact"/>
              <w:ind w:left="102"/>
              <w:rPr>
                <w:sz w:val="24"/>
              </w:rPr>
            </w:pPr>
            <w:r>
              <w:rPr>
                <w:sz w:val="24"/>
              </w:rPr>
              <w:t>Primary front door accessible</w:t>
            </w:r>
          </w:p>
        </w:tc>
        <w:tc>
          <w:tcPr>
            <w:tcW w:w="2125" w:type="dxa"/>
          </w:tcPr>
          <w:p>
            <w:pPr>
              <w:pStyle w:val="TableParagraph"/>
              <w:spacing w:line="274" w:lineRule="exact"/>
              <w:ind w:left="582" w:right="584"/>
              <w:jc w:val="center"/>
              <w:rPr>
                <w:sz w:val="24"/>
              </w:rPr>
            </w:pPr>
            <w:r>
              <w:rPr>
                <w:sz w:val="24"/>
              </w:rPr>
              <w:t>98</w:t>
            </w:r>
          </w:p>
        </w:tc>
        <w:tc>
          <w:tcPr>
            <w:tcW w:w="2230" w:type="dxa"/>
          </w:tcPr>
          <w:p>
            <w:pPr>
              <w:pStyle w:val="TableParagraph"/>
              <w:spacing w:line="274" w:lineRule="exact"/>
              <w:ind w:left="442" w:right="442"/>
              <w:jc w:val="center"/>
              <w:rPr>
                <w:sz w:val="24"/>
              </w:rPr>
            </w:pPr>
            <w:r>
              <w:rPr>
                <w:sz w:val="24"/>
              </w:rPr>
              <w:t>86%</w:t>
            </w:r>
          </w:p>
        </w:tc>
      </w:tr>
      <w:tr>
        <w:trPr>
          <w:trHeight w:val="400" w:hRule="atLeast"/>
        </w:trPr>
        <w:tc>
          <w:tcPr>
            <w:tcW w:w="5072" w:type="dxa"/>
          </w:tcPr>
          <w:p>
            <w:pPr>
              <w:pStyle w:val="TableParagraph"/>
              <w:spacing w:line="240" w:lineRule="auto"/>
              <w:ind w:left="102"/>
              <w:rPr>
                <w:sz w:val="24"/>
              </w:rPr>
            </w:pPr>
            <w:r>
              <w:rPr>
                <w:sz w:val="24"/>
              </w:rPr>
              <w:t>At least one accessible toilet</w:t>
            </w:r>
          </w:p>
        </w:tc>
        <w:tc>
          <w:tcPr>
            <w:tcW w:w="2125" w:type="dxa"/>
          </w:tcPr>
          <w:p>
            <w:pPr>
              <w:pStyle w:val="TableParagraph"/>
              <w:spacing w:line="240" w:lineRule="auto"/>
              <w:ind w:left="582" w:right="584"/>
              <w:jc w:val="center"/>
              <w:rPr>
                <w:sz w:val="24"/>
              </w:rPr>
            </w:pPr>
            <w:r>
              <w:rPr>
                <w:sz w:val="24"/>
              </w:rPr>
              <w:t>97</w:t>
            </w:r>
          </w:p>
        </w:tc>
        <w:tc>
          <w:tcPr>
            <w:tcW w:w="2230" w:type="dxa"/>
          </w:tcPr>
          <w:p>
            <w:pPr>
              <w:pStyle w:val="TableParagraph"/>
              <w:spacing w:line="240" w:lineRule="auto"/>
              <w:ind w:left="442" w:right="442"/>
              <w:jc w:val="center"/>
              <w:rPr>
                <w:sz w:val="24"/>
              </w:rPr>
            </w:pPr>
            <w:r>
              <w:rPr>
                <w:sz w:val="24"/>
              </w:rPr>
              <w:t>87%</w:t>
            </w:r>
          </w:p>
        </w:tc>
      </w:tr>
      <w:tr>
        <w:trPr>
          <w:trHeight w:val="400" w:hRule="atLeast"/>
        </w:trPr>
        <w:tc>
          <w:tcPr>
            <w:tcW w:w="5072" w:type="dxa"/>
            <w:tcBorders>
              <w:bottom w:val="single" w:sz="6" w:space="0" w:color="000000"/>
            </w:tcBorders>
          </w:tcPr>
          <w:p>
            <w:pPr>
              <w:pStyle w:val="TableParagraph"/>
              <w:spacing w:line="274" w:lineRule="exact"/>
              <w:ind w:left="102"/>
              <w:rPr>
                <w:sz w:val="24"/>
              </w:rPr>
            </w:pPr>
            <w:r>
              <w:rPr>
                <w:sz w:val="24"/>
              </w:rPr>
              <w:t>An induction loop</w:t>
            </w:r>
          </w:p>
        </w:tc>
        <w:tc>
          <w:tcPr>
            <w:tcW w:w="2125" w:type="dxa"/>
            <w:tcBorders>
              <w:bottom w:val="single" w:sz="6" w:space="0" w:color="000000"/>
            </w:tcBorders>
          </w:tcPr>
          <w:p>
            <w:pPr>
              <w:pStyle w:val="TableParagraph"/>
              <w:spacing w:line="274" w:lineRule="exact"/>
              <w:ind w:right="1"/>
              <w:jc w:val="center"/>
              <w:rPr>
                <w:sz w:val="24"/>
              </w:rPr>
            </w:pPr>
            <w:r>
              <w:rPr>
                <w:w w:val="99"/>
                <w:sz w:val="24"/>
              </w:rPr>
              <w:t>5</w:t>
            </w:r>
          </w:p>
        </w:tc>
        <w:tc>
          <w:tcPr>
            <w:tcW w:w="2230" w:type="dxa"/>
            <w:tcBorders>
              <w:bottom w:val="single" w:sz="6" w:space="0" w:color="000000"/>
            </w:tcBorders>
          </w:tcPr>
          <w:p>
            <w:pPr>
              <w:pStyle w:val="TableParagraph"/>
              <w:spacing w:line="274" w:lineRule="exact"/>
              <w:ind w:left="441" w:right="444"/>
              <w:jc w:val="center"/>
              <w:rPr>
                <w:sz w:val="24"/>
              </w:rPr>
            </w:pPr>
            <w:r>
              <w:rPr>
                <w:sz w:val="24"/>
              </w:rPr>
              <w:t>4%</w:t>
            </w:r>
          </w:p>
        </w:tc>
      </w:tr>
    </w:tbl>
    <w:p>
      <w:pPr>
        <w:spacing w:after="0" w:line="274" w:lineRule="exact"/>
        <w:jc w:val="center"/>
        <w:rPr>
          <w:sz w:val="24"/>
        </w:rPr>
        <w:sectPr>
          <w:pgSz w:w="11910" w:h="17340"/>
          <w:pgMar w:header="759" w:footer="1014" w:top="940" w:bottom="1200" w:left="1340" w:right="900"/>
        </w:sectPr>
      </w:pPr>
    </w:p>
    <w:p>
      <w:pPr>
        <w:pStyle w:val="BodyText"/>
        <w:spacing w:before="7"/>
        <w:rPr>
          <w:b/>
          <w:sz w:val="15"/>
        </w:rPr>
      </w:pPr>
    </w:p>
    <w:p>
      <w:pPr>
        <w:pStyle w:val="BodyText"/>
        <w:spacing w:line="360" w:lineRule="auto" w:before="92"/>
        <w:ind w:left="110" w:right="101"/>
      </w:pPr>
      <w:r>
        <w:rPr/>
        <w:t>In order to get an idea of the catchment area served by the facilities they were asked to choose an appropriate geographical level. The catchment area for the majority of facilities is local, at the Parish boundary 33%.</w:t>
      </w:r>
    </w:p>
    <w:p>
      <w:pPr>
        <w:pStyle w:val="BodyText"/>
        <w:spacing w:before="11"/>
        <w:rPr>
          <w:sz w:val="35"/>
        </w:rPr>
      </w:pPr>
    </w:p>
    <w:p>
      <w:pPr>
        <w:spacing w:before="0"/>
        <w:ind w:left="110" w:right="0" w:firstLine="0"/>
        <w:jc w:val="left"/>
        <w:rPr>
          <w:b/>
          <w:sz w:val="20"/>
        </w:rPr>
      </w:pPr>
      <w:r>
        <w:rPr/>
        <w:pict>
          <v:group style="position:absolute;margin-left:79.574997pt;margin-top:17.064892pt;width:378pt;height:211.5pt;mso-position-horizontal-relative:page;mso-position-vertical-relative:paragraph;z-index:4384;mso-wrap-distance-left:0;mso-wrap-distance-right:0" coordorigin="1591,341" coordsize="7560,4230">
            <v:shape style="position:absolute;left:5306;top:2169;width:1107;height:1646" coordorigin="5306,2170" coordsize="1107,1646" path="m5306,2170l5306,3276,6273,3815,6307,3748,6337,3679,6362,3609,6381,3539,6396,3468,6407,3397,6412,3325,6413,3254,6409,3183,6401,3112,6388,3043,6371,2974,6349,2907,6324,2841,6294,2776,6259,2714,6221,2654,6179,2596,6133,2540,6083,2488,6029,2438,5972,2392,5910,2349,5845,2310,5774,2273,5699,2242,5624,2216,5546,2196,5467,2181,5387,2173,5306,2170xe" filled="true" fillcolor="#4571a7" stroked="false">
              <v:path arrowok="t"/>
              <v:fill type="solid"/>
            </v:shape>
            <v:shape style="position:absolute;left:5306;top:3275;width:967;height:1104" coordorigin="5306,3276" coordsize="967,1104" path="m5306,3276l5390,4379,5468,4370,5546,4356,5621,4337,5695,4312,5767,4282,5836,4248,5902,4208,5966,4164,6026,4116,6083,4064,6137,4007,6186,3947,6232,3883,6273,3815,5306,3276xe" filled="true" fillcolor="#aa4643" stroked="false">
              <v:path arrowok="t"/>
              <v:fill type="solid"/>
            </v:shape>
            <v:shape style="position:absolute;left:4221;top:3275;width:1169;height:1107" coordorigin="4221,3276" coordsize="1169,1107" path="m5306,3276l4221,3490,4238,3564,4260,3636,4286,3705,4317,3772,4352,3836,4391,3897,4433,3955,4479,4011,4529,4063,4581,4111,4637,4157,4695,4198,4756,4236,4819,4269,4885,4299,4952,4324,5022,4345,5093,4362,5165,4373,5239,4380,5314,4382,5390,4379,5306,3276xe" filled="true" fillcolor="#88a44e" stroked="false">
              <v:path arrowok="t"/>
              <v:fill type="solid"/>
            </v:shape>
            <v:shape style="position:absolute;left:4200;top:2450;width:1107;height:1040" coordorigin="4200,2451" coordsize="1107,1040" path="m4570,2451l4513,2504,4461,2562,4414,2622,4371,2685,4333,2751,4299,2819,4270,2889,4246,2960,4227,3034,4213,3108,4204,3183,4200,3260,4202,3336,4209,3413,4221,3490,5306,3276,4570,2451xe" filled="true" fillcolor="#70578f" stroked="false">
              <v:path arrowok="t"/>
              <v:fill type="solid"/>
            </v:shape>
            <v:shape style="position:absolute;left:4569;top:2376;width:737;height:900" coordorigin="4570,2377" coordsize="737,900" path="m4662,2377l4638,2394,4615,2412,4592,2431,4570,2451,5306,3276,4662,2377xe" filled="true" fillcolor="#4197ae" stroked="false">
              <v:path arrowok="t"/>
              <v:fill type="solid"/>
            </v:shape>
            <v:shape style="position:absolute;left:4661;top:2169;width:645;height:1107" coordorigin="4662,2170" coordsize="645,1107" path="m5306,2170l5230,2172,5153,2180,5078,2193,5004,2212,4932,2235,4861,2263,4792,2296,4726,2334,4662,2377,5306,3276,5306,2170xe" filled="true" fillcolor="#db843c" stroked="false">
              <v:path arrowok="t"/>
              <v:fill type="solid"/>
            </v:shape>
            <v:rect style="position:absolute;left:3110;top:1115;width:111;height:113" filled="true" fillcolor="#4571a7" stroked="false">
              <v:fill type="solid"/>
            </v:rect>
            <v:rect style="position:absolute;left:5443;top:1115;width:113;height:113" filled="true" fillcolor="#aa4643" stroked="false">
              <v:fill type="solid"/>
            </v:rect>
            <v:rect style="position:absolute;left:3110;top:1478;width:111;height:111" filled="true" fillcolor="#88a44e" stroked="false">
              <v:fill type="solid"/>
            </v:rect>
            <v:rect style="position:absolute;left:5443;top:1478;width:113;height:111" filled="true" fillcolor="#70578f" stroked="false">
              <v:fill type="solid"/>
            </v:rect>
            <v:rect style="position:absolute;left:3110;top:1838;width:111;height:113" filled="true" fillcolor="#4197ae" stroked="false">
              <v:fill type="solid"/>
            </v:rect>
            <v:rect style="position:absolute;left:5443;top:1838;width:113;height:113" filled="true" fillcolor="#db843c" stroked="false">
              <v:fill type="solid"/>
            </v:rect>
            <v:rect style="position:absolute;left:1599;top:348;width:7545;height:4215" filled="false" stroked="true" strokeweight=".75pt" strokecolor="#858585">
              <v:stroke dashstyle="solid"/>
            </v:rect>
            <v:shape style="position:absolute;left:3266;top:554;width:4006;height:2614" type="#_x0000_t202" filled="false" stroked="false">
              <v:textbox inset="0,0,0,0">
                <w:txbxContent>
                  <w:p>
                    <w:pPr>
                      <w:spacing w:line="270" w:lineRule="exact" w:before="0"/>
                      <w:ind w:left="521" w:right="0" w:firstLine="0"/>
                      <w:jc w:val="left"/>
                      <w:rPr>
                        <w:b/>
                        <w:sz w:val="28"/>
                      </w:rPr>
                    </w:pPr>
                    <w:r>
                      <w:rPr>
                        <w:b/>
                        <w:w w:val="90"/>
                        <w:sz w:val="28"/>
                      </w:rPr>
                      <w:t>Catchment area of facilities</w:t>
                    </w:r>
                  </w:p>
                  <w:p>
                    <w:pPr>
                      <w:tabs>
                        <w:tab w:pos="2333" w:val="left" w:leader="none"/>
                      </w:tabs>
                      <w:spacing w:before="216"/>
                      <w:ind w:left="0" w:right="0" w:firstLine="0"/>
                      <w:jc w:val="left"/>
                      <w:rPr>
                        <w:sz w:val="20"/>
                      </w:rPr>
                    </w:pPr>
                    <w:r>
                      <w:rPr>
                        <w:w w:val="95"/>
                        <w:sz w:val="20"/>
                      </w:rPr>
                      <w:t>Parish</w:t>
                    </w:r>
                    <w:r>
                      <w:rPr>
                        <w:spacing w:val="-26"/>
                        <w:w w:val="95"/>
                        <w:sz w:val="20"/>
                      </w:rPr>
                      <w:t> </w:t>
                    </w:r>
                    <w:r>
                      <w:rPr>
                        <w:w w:val="95"/>
                        <w:sz w:val="20"/>
                      </w:rPr>
                      <w:t>boundary</w:t>
                      <w:tab/>
                    </w:r>
                    <w:r>
                      <w:rPr>
                        <w:w w:val="90"/>
                        <w:sz w:val="20"/>
                      </w:rPr>
                      <w:t>Village and environs</w:t>
                    </w:r>
                  </w:p>
                  <w:p>
                    <w:pPr>
                      <w:tabs>
                        <w:tab w:pos="2333" w:val="left" w:leader="none"/>
                      </w:tabs>
                      <w:spacing w:line="376" w:lineRule="auto" w:before="132"/>
                      <w:ind w:left="0" w:right="18" w:firstLine="0"/>
                      <w:jc w:val="left"/>
                      <w:rPr>
                        <w:sz w:val="20"/>
                      </w:rPr>
                    </w:pPr>
                    <w:r>
                      <w:rPr>
                        <w:sz w:val="20"/>
                      </w:rPr>
                      <w:t>Town</w:t>
                    </w:r>
                    <w:r>
                      <w:rPr>
                        <w:spacing w:val="-40"/>
                        <w:sz w:val="20"/>
                      </w:rPr>
                      <w:t> </w:t>
                    </w:r>
                    <w:r>
                      <w:rPr>
                        <w:sz w:val="20"/>
                      </w:rPr>
                      <w:t>and</w:t>
                    </w:r>
                    <w:r>
                      <w:rPr>
                        <w:spacing w:val="-41"/>
                        <w:sz w:val="20"/>
                      </w:rPr>
                      <w:t> </w:t>
                    </w:r>
                    <w:r>
                      <w:rPr>
                        <w:sz w:val="20"/>
                      </w:rPr>
                      <w:t>environs</w:t>
                      <w:tab/>
                    </w:r>
                    <w:r>
                      <w:rPr>
                        <w:w w:val="90"/>
                        <w:sz w:val="20"/>
                      </w:rPr>
                      <w:t>County</w:t>
                    </w:r>
                    <w:r>
                      <w:rPr>
                        <w:spacing w:val="12"/>
                        <w:w w:val="90"/>
                        <w:sz w:val="20"/>
                      </w:rPr>
                      <w:t> </w:t>
                    </w:r>
                    <w:r>
                      <w:rPr>
                        <w:w w:val="90"/>
                        <w:sz w:val="20"/>
                      </w:rPr>
                      <w:t>Wide</w:t>
                    </w:r>
                    <w:r>
                      <w:rPr>
                        <w:w w:val="89"/>
                        <w:sz w:val="20"/>
                      </w:rPr>
                      <w:t> </w:t>
                    </w:r>
                    <w:r>
                      <w:rPr>
                        <w:sz w:val="20"/>
                      </w:rPr>
                      <w:t>Regions</w:t>
                    </w:r>
                    <w:r>
                      <w:rPr>
                        <w:spacing w:val="-38"/>
                        <w:sz w:val="20"/>
                      </w:rPr>
                      <w:t> </w:t>
                    </w:r>
                    <w:r>
                      <w:rPr>
                        <w:sz w:val="20"/>
                      </w:rPr>
                      <w:t>within</w:t>
                    </w:r>
                    <w:r>
                      <w:rPr>
                        <w:spacing w:val="-37"/>
                        <w:sz w:val="20"/>
                      </w:rPr>
                      <w:t> </w:t>
                    </w:r>
                    <w:r>
                      <w:rPr>
                        <w:sz w:val="20"/>
                      </w:rPr>
                      <w:t>the</w:t>
                    </w:r>
                    <w:r>
                      <w:rPr>
                        <w:spacing w:val="-38"/>
                        <w:sz w:val="20"/>
                      </w:rPr>
                      <w:t> </w:t>
                    </w:r>
                    <w:r>
                      <w:rPr>
                        <w:sz w:val="20"/>
                      </w:rPr>
                      <w:t>county</w:t>
                      <w:tab/>
                    </w:r>
                    <w:r>
                      <w:rPr>
                        <w:w w:val="95"/>
                        <w:sz w:val="20"/>
                      </w:rPr>
                      <w:t>Regional</w:t>
                    </w:r>
                    <w:r>
                      <w:rPr>
                        <w:spacing w:val="-36"/>
                        <w:w w:val="95"/>
                        <w:sz w:val="20"/>
                      </w:rPr>
                      <w:t> </w:t>
                    </w:r>
                    <w:r>
                      <w:rPr>
                        <w:w w:val="95"/>
                        <w:sz w:val="20"/>
                      </w:rPr>
                      <w:t>or</w:t>
                    </w:r>
                    <w:r>
                      <w:rPr>
                        <w:spacing w:val="-38"/>
                        <w:w w:val="95"/>
                        <w:sz w:val="20"/>
                      </w:rPr>
                      <w:t> </w:t>
                    </w:r>
                    <w:r>
                      <w:rPr>
                        <w:w w:val="95"/>
                        <w:sz w:val="20"/>
                      </w:rPr>
                      <w:t>National</w:t>
                    </w:r>
                  </w:p>
                  <w:p>
                    <w:pPr>
                      <w:spacing w:line="212" w:lineRule="exact" w:before="30"/>
                      <w:ind w:left="1065" w:right="0" w:firstLine="0"/>
                      <w:jc w:val="left"/>
                      <w:rPr>
                        <w:sz w:val="20"/>
                      </w:rPr>
                    </w:pPr>
                    <w:r>
                      <w:rPr>
                        <w:w w:val="95"/>
                        <w:sz w:val="20"/>
                      </w:rPr>
                      <w:t>2%</w:t>
                    </w:r>
                  </w:p>
                  <w:p>
                    <w:pPr>
                      <w:spacing w:line="212" w:lineRule="exact" w:before="0"/>
                      <w:ind w:left="1583" w:right="2002" w:firstLine="0"/>
                      <w:jc w:val="center"/>
                      <w:rPr>
                        <w:sz w:val="20"/>
                      </w:rPr>
                    </w:pPr>
                    <w:r>
                      <w:rPr>
                        <w:w w:val="95"/>
                        <w:sz w:val="20"/>
                      </w:rPr>
                      <w:t>10%</w:t>
                    </w:r>
                  </w:p>
                  <w:p>
                    <w:pPr>
                      <w:spacing w:line="212" w:lineRule="exact" w:before="160"/>
                      <w:ind w:left="2565" w:right="0" w:firstLine="0"/>
                      <w:jc w:val="left"/>
                      <w:rPr>
                        <w:sz w:val="20"/>
                      </w:rPr>
                    </w:pPr>
                    <w:r>
                      <w:rPr>
                        <w:w w:val="95"/>
                        <w:sz w:val="20"/>
                      </w:rPr>
                      <w:t>33%</w:t>
                    </w:r>
                  </w:p>
                  <w:p>
                    <w:pPr>
                      <w:spacing w:line="212" w:lineRule="exact" w:before="0"/>
                      <w:ind w:left="1065" w:right="0" w:firstLine="0"/>
                      <w:jc w:val="left"/>
                      <w:rPr>
                        <w:sz w:val="20"/>
                      </w:rPr>
                    </w:pPr>
                    <w:r>
                      <w:rPr>
                        <w:w w:val="95"/>
                        <w:sz w:val="20"/>
                      </w:rPr>
                      <w:t>17%</w:t>
                    </w:r>
                  </w:p>
                </w:txbxContent>
              </v:textbox>
              <w10:wrap type="none"/>
            </v:shape>
            <v:shape style="position:absolute;left:4616;top:3839;width:364;height:200" type="#_x0000_t202" filled="false" stroked="false">
              <v:textbox inset="0,0,0,0">
                <w:txbxContent>
                  <w:p>
                    <w:pPr>
                      <w:spacing w:line="192" w:lineRule="exact" w:before="0"/>
                      <w:ind w:left="0" w:right="0" w:firstLine="0"/>
                      <w:jc w:val="left"/>
                      <w:rPr>
                        <w:sz w:val="20"/>
                      </w:rPr>
                    </w:pPr>
                    <w:r>
                      <w:rPr>
                        <w:w w:val="85"/>
                        <w:sz w:val="20"/>
                      </w:rPr>
                      <w:t>23%</w:t>
                    </w:r>
                  </w:p>
                </w:txbxContent>
              </v:textbox>
              <w10:wrap type="none"/>
            </v:shape>
            <v:shape style="position:absolute;left:5576;top:3899;width:364;height:200" type="#_x0000_t202" filled="false" stroked="false">
              <v:textbox inset="0,0,0,0">
                <w:txbxContent>
                  <w:p>
                    <w:pPr>
                      <w:spacing w:line="192" w:lineRule="exact" w:before="0"/>
                      <w:ind w:left="0" w:right="0" w:firstLine="0"/>
                      <w:jc w:val="left"/>
                      <w:rPr>
                        <w:sz w:val="20"/>
                      </w:rPr>
                    </w:pPr>
                    <w:r>
                      <w:rPr>
                        <w:w w:val="85"/>
                        <w:sz w:val="20"/>
                      </w:rPr>
                      <w:t>16%</w:t>
                    </w:r>
                  </w:p>
                </w:txbxContent>
              </v:textbox>
              <w10:wrap type="none"/>
            </v:shape>
            <w10:wrap type="topAndBottom"/>
          </v:group>
        </w:pict>
      </w:r>
      <w:r>
        <w:rPr>
          <w:b/>
          <w:sz w:val="20"/>
        </w:rPr>
        <w:t>Figure 25: Catchment area of facilities</w:t>
      </w:r>
    </w:p>
    <w:p>
      <w:pPr>
        <w:spacing w:after="0"/>
        <w:jc w:val="left"/>
        <w:rPr>
          <w:sz w:val="20"/>
        </w:rPr>
        <w:sectPr>
          <w:pgSz w:w="11910" w:h="17340"/>
          <w:pgMar w:header="759" w:footer="1014" w:top="940" w:bottom="1200" w:left="1460" w:right="1240"/>
        </w:sectPr>
      </w:pPr>
    </w:p>
    <w:p>
      <w:pPr>
        <w:pStyle w:val="BodyText"/>
        <w:spacing w:before="1"/>
        <w:rPr>
          <w:b/>
          <w:sz w:val="15"/>
        </w:rPr>
      </w:pPr>
    </w:p>
    <w:p>
      <w:pPr>
        <w:pStyle w:val="Heading1"/>
        <w:tabs>
          <w:tab w:pos="9349" w:val="left" w:leader="none"/>
        </w:tabs>
      </w:pPr>
      <w:bookmarkStart w:name="_TOC_250000" w:id="6"/>
      <w:r>
        <w:rPr>
          <w:shd w:fill="8DB3E1" w:color="auto" w:val="clear"/>
        </w:rPr>
        <w:t>Section 6:  Conclusions &amp;</w:t>
      </w:r>
      <w:r>
        <w:rPr>
          <w:spacing w:val="-64"/>
          <w:shd w:fill="8DB3E1" w:color="auto" w:val="clear"/>
        </w:rPr>
        <w:t> </w:t>
      </w:r>
      <w:bookmarkEnd w:id="6"/>
      <w:r>
        <w:rPr>
          <w:shd w:fill="8DB3E1" w:color="auto" w:val="clear"/>
        </w:rPr>
        <w:t>Recommendations</w:t>
        <w:tab/>
      </w:r>
    </w:p>
    <w:p>
      <w:pPr>
        <w:pStyle w:val="BodyText"/>
        <w:spacing w:before="1"/>
        <w:rPr>
          <w:rFonts w:ascii="Arial Black"/>
          <w:b/>
          <w:sz w:val="47"/>
        </w:rPr>
      </w:pPr>
    </w:p>
    <w:p>
      <w:pPr>
        <w:pStyle w:val="BodyText"/>
        <w:spacing w:line="360" w:lineRule="auto"/>
        <w:ind w:left="110" w:right="201"/>
      </w:pPr>
      <w:r>
        <w:rPr/>
        <w:t>This report aimed to provide an audit of existing, community and sports facilities serving the County of Cavan. As previously acknowledged within this report this would not be a definitive listing of all the community and sports facilities within the county as not all facilities replied to the survey. However the data collected from the survey, along with local knowledge and other data sources available can be used to draw conclusions and put forward recommendations on the supports and development needs of the community and sports facilities sector within the county.</w:t>
      </w:r>
    </w:p>
    <w:p>
      <w:pPr>
        <w:pStyle w:val="BodyText"/>
        <w:spacing w:before="3"/>
        <w:rPr>
          <w:sz w:val="36"/>
        </w:rPr>
      </w:pPr>
    </w:p>
    <w:p>
      <w:pPr>
        <w:pStyle w:val="BodyText"/>
        <w:spacing w:line="360" w:lineRule="auto"/>
        <w:ind w:left="110" w:right="201"/>
      </w:pPr>
      <w:r>
        <w:rPr/>
        <w:t>In order to develop a comprehensive database on all the community and sports facilities within the county on an ongoing basis, one of the first recommendations this report would put forward is that a ‘Community &amp; Sports Facilities Database Registration Form’ is produced. Any new facility and those not already included within this latest audit should be encouraged to complete this form. Facilities may be more willing to complete a short one page form rather than respond to a lengthy survey so this will enable the identification of such facilities to be made more easily. This form should be made readily available by all the relevant organisations within the county for distribution such as Cavan County Council, Breffni Integrated, PPN, Sports Partnership, Leader etc. Cavan County Council would be responsible for maintaining and updating the database.</w:t>
      </w:r>
    </w:p>
    <w:p>
      <w:pPr>
        <w:pStyle w:val="BodyText"/>
        <w:spacing w:before="3"/>
        <w:rPr>
          <w:sz w:val="28"/>
        </w:rPr>
      </w:pPr>
    </w:p>
    <w:p>
      <w:pPr>
        <w:pStyle w:val="Heading3"/>
        <w:numPr>
          <w:ilvl w:val="1"/>
          <w:numId w:val="8"/>
        </w:numPr>
        <w:tabs>
          <w:tab w:pos="829" w:val="left" w:leader="none"/>
          <w:tab w:pos="830" w:val="left" w:leader="none"/>
          <w:tab w:pos="9349" w:val="left" w:leader="none"/>
        </w:tabs>
        <w:spacing w:line="240" w:lineRule="auto" w:before="92" w:after="0"/>
        <w:ind w:left="830" w:right="0" w:hanging="720"/>
        <w:jc w:val="left"/>
        <w:rPr>
          <w:u w:val="none"/>
        </w:rPr>
      </w:pPr>
      <w:r>
        <w:rPr>
          <w:shd w:fill="C5D9F0" w:color="auto" w:val="clear"/>
          <w:u w:val="none"/>
        </w:rPr>
        <w:t>Distribution</w:t>
      </w:r>
      <w:r>
        <w:rPr>
          <w:shd w:fill="FFFFFF" w:color="auto" w:val="clear"/>
          <w:u w:val="none"/>
        </w:rPr>
        <w:t> </w:t>
      </w:r>
      <w:r>
        <w:rPr>
          <w:shd w:fill="C5D9F0" w:color="auto" w:val="clear"/>
          <w:u w:val="none"/>
        </w:rPr>
        <w:t>of</w:t>
      </w:r>
      <w:r>
        <w:rPr>
          <w:shd w:fill="FFFFFF" w:color="auto" w:val="clear"/>
          <w:u w:val="none"/>
        </w:rPr>
        <w:t> </w:t>
      </w:r>
      <w:r>
        <w:rPr>
          <w:shd w:fill="C5D9F0" w:color="auto" w:val="clear"/>
          <w:u w:val="none"/>
        </w:rPr>
        <w:t>the</w:t>
      </w:r>
      <w:r>
        <w:rPr>
          <w:shd w:fill="FFFFFF" w:color="auto" w:val="clear"/>
          <w:u w:val="none"/>
        </w:rPr>
        <w:t> </w:t>
      </w:r>
      <w:r>
        <w:rPr>
          <w:shd w:fill="C5D9F0" w:color="auto" w:val="clear"/>
          <w:u w:val="none"/>
        </w:rPr>
        <w:t>Community</w:t>
      </w:r>
      <w:r>
        <w:rPr>
          <w:shd w:fill="FFFFFF" w:color="auto" w:val="clear"/>
          <w:u w:val="none"/>
        </w:rPr>
        <w:t> </w:t>
      </w:r>
      <w:r>
        <w:rPr>
          <w:shd w:fill="C5D9F0" w:color="auto" w:val="clear"/>
          <w:u w:val="none"/>
        </w:rPr>
        <w:t>Facilities</w:t>
      </w:r>
      <w:r>
        <w:rPr>
          <w:shd w:fill="FFFFFF" w:color="auto" w:val="clear"/>
          <w:u w:val="none"/>
        </w:rPr>
        <w:t> </w:t>
      </w:r>
      <w:r>
        <w:rPr>
          <w:shd w:fill="C5D9F0" w:color="auto" w:val="clear"/>
          <w:u w:val="none"/>
        </w:rPr>
        <w:t>/</w:t>
      </w:r>
      <w:r>
        <w:rPr>
          <w:shd w:fill="FFFFFF" w:color="auto" w:val="clear"/>
          <w:u w:val="none"/>
        </w:rPr>
        <w:t> </w:t>
      </w:r>
      <w:r>
        <w:rPr>
          <w:shd w:fill="C5D9F0" w:color="auto" w:val="clear"/>
          <w:u w:val="none"/>
        </w:rPr>
        <w:t>Geographic</w:t>
      </w:r>
      <w:r>
        <w:rPr>
          <w:spacing w:val="-14"/>
          <w:shd w:fill="FFFFFF" w:color="auto" w:val="clear"/>
          <w:u w:val="none"/>
        </w:rPr>
        <w:t> </w:t>
      </w:r>
      <w:r>
        <w:rPr>
          <w:shd w:fill="C5D9F0" w:color="auto" w:val="clear"/>
          <w:u w:val="none"/>
        </w:rPr>
        <w:t>Analysis</w:t>
        <w:tab/>
      </w:r>
    </w:p>
    <w:p>
      <w:pPr>
        <w:pStyle w:val="BodyText"/>
        <w:rPr>
          <w:b/>
          <w:sz w:val="26"/>
        </w:rPr>
      </w:pPr>
    </w:p>
    <w:p>
      <w:pPr>
        <w:pStyle w:val="BodyText"/>
        <w:rPr>
          <w:b/>
          <w:sz w:val="22"/>
        </w:rPr>
      </w:pPr>
    </w:p>
    <w:p>
      <w:pPr>
        <w:pStyle w:val="BodyText"/>
        <w:spacing w:line="360" w:lineRule="auto"/>
        <w:ind w:left="110" w:right="255"/>
      </w:pPr>
      <w:r>
        <w:rPr/>
        <w:t>The west of Cavan is lacking in community facilities once compared to other parts of the county. However it can be said that the west of the county would not be as highly populated and therefore this would not serve as a particular disadvantage to the local communities in terms of accessibility to a community facility. What would be of concern however is that there are very few sporting facilities located in the west of the county. No sporting facilities were identified beyond Swanlinbar from the audit.</w:t>
      </w:r>
    </w:p>
    <w:p>
      <w:pPr>
        <w:pStyle w:val="BodyText"/>
        <w:spacing w:before="4"/>
        <w:rPr>
          <w:sz w:val="36"/>
        </w:rPr>
      </w:pPr>
    </w:p>
    <w:p>
      <w:pPr>
        <w:pStyle w:val="BodyText"/>
        <w:spacing w:line="360" w:lineRule="auto"/>
        <w:ind w:left="110" w:right="470"/>
        <w:jc w:val="both"/>
      </w:pPr>
      <w:r>
        <w:rPr/>
        <w:t>When the distribution of community and sports facilities are considered against the background of population changes over the last inter-censual period it can be seen that certain areas which have increased in population are lagging behind in terms of</w:t>
      </w:r>
    </w:p>
    <w:p>
      <w:pPr>
        <w:spacing w:after="0" w:line="360" w:lineRule="auto"/>
        <w:jc w:val="both"/>
        <w:sectPr>
          <w:footerReference w:type="default" r:id="rId32"/>
          <w:pgSz w:w="11910" w:h="17340"/>
          <w:pgMar w:footer="1014" w:header="759" w:top="940" w:bottom="1200" w:left="1460" w:right="980"/>
        </w:sectPr>
      </w:pPr>
    </w:p>
    <w:p>
      <w:pPr>
        <w:pStyle w:val="BodyText"/>
        <w:spacing w:before="7"/>
        <w:rPr>
          <w:sz w:val="15"/>
        </w:rPr>
      </w:pPr>
    </w:p>
    <w:p>
      <w:pPr>
        <w:pStyle w:val="BodyText"/>
        <w:spacing w:line="360" w:lineRule="auto" w:before="92"/>
        <w:ind w:left="110" w:right="295"/>
      </w:pPr>
      <w:r>
        <w:rPr/>
        <w:t>having suitable community and sports facilities to meet their growing needs. Ballyjamesduff is an area of particular concern along. From the audit only two sports facilities (both GAA and based a few miles outside the town) and one community facility was identified, which is the County Museum. The museum would not in be available exclusively for community use. Although they didn’t respond to this survey it is known that there are two other small community facilities within the town also.</w:t>
      </w:r>
    </w:p>
    <w:p>
      <w:pPr>
        <w:pStyle w:val="BodyText"/>
        <w:spacing w:line="360" w:lineRule="auto" w:before="4"/>
        <w:ind w:left="110" w:right="173"/>
      </w:pPr>
      <w:r>
        <w:rPr/>
        <w:t>However the population of Ballyjamesduff has grown substantially over the last census period and these findings would suggest that there are not enough facilities to cater for and meet this growing demand. The electoral divisions of Enniskeen, Lisagoan, Taghart are also areas of concern, as according to the audit neither of these divisions have a community or sports facility at all, despite showing significant increases within their populations. While the town of Mullagh itself appears to be well catered for, the hinterlands and neighbouring ED Munterconnaught with very few facilities available and increasing population levels. These emerging areas of need should been considered under the newly launched ‘Realising Our Potential: An Action Plan for Rural</w:t>
      </w:r>
      <w:r>
        <w:rPr>
          <w:spacing w:val="-3"/>
        </w:rPr>
        <w:t> </w:t>
      </w:r>
      <w:r>
        <w:rPr/>
        <w:t>Development’.</w:t>
      </w:r>
    </w:p>
    <w:p>
      <w:pPr>
        <w:pStyle w:val="BodyText"/>
        <w:spacing w:before="3"/>
        <w:rPr>
          <w:sz w:val="28"/>
        </w:rPr>
      </w:pPr>
    </w:p>
    <w:p>
      <w:pPr>
        <w:pStyle w:val="Heading3"/>
        <w:numPr>
          <w:ilvl w:val="1"/>
          <w:numId w:val="8"/>
        </w:numPr>
        <w:tabs>
          <w:tab w:pos="829" w:val="left" w:leader="none"/>
          <w:tab w:pos="830" w:val="left" w:leader="none"/>
          <w:tab w:pos="9349" w:val="left" w:leader="none"/>
        </w:tabs>
        <w:spacing w:line="240" w:lineRule="auto" w:before="93" w:after="0"/>
        <w:ind w:left="830" w:right="0" w:hanging="720"/>
        <w:jc w:val="left"/>
        <w:rPr>
          <w:u w:val="none"/>
        </w:rPr>
      </w:pPr>
      <w:r>
        <w:rPr>
          <w:shd w:fill="C5D9F0" w:color="auto" w:val="clear"/>
          <w:u w:val="none"/>
        </w:rPr>
        <w:t>Facilities</w:t>
      </w:r>
      <w:r>
        <w:rPr>
          <w:spacing w:val="-9"/>
          <w:shd w:fill="FFFFFF" w:color="auto" w:val="clear"/>
          <w:u w:val="none"/>
        </w:rPr>
        <w:t> </w:t>
      </w:r>
      <w:r>
        <w:rPr>
          <w:shd w:fill="C5D9F0" w:color="auto" w:val="clear"/>
          <w:u w:val="none"/>
        </w:rPr>
        <w:t>Provided</w:t>
        <w:tab/>
      </w:r>
    </w:p>
    <w:p>
      <w:pPr>
        <w:pStyle w:val="BodyText"/>
        <w:rPr>
          <w:b/>
          <w:sz w:val="26"/>
        </w:rPr>
      </w:pPr>
    </w:p>
    <w:p>
      <w:pPr>
        <w:pStyle w:val="BodyText"/>
        <w:spacing w:before="7"/>
        <w:rPr>
          <w:b/>
          <w:sz w:val="32"/>
        </w:rPr>
      </w:pPr>
    </w:p>
    <w:p>
      <w:pPr>
        <w:pStyle w:val="BodyText"/>
        <w:spacing w:line="360" w:lineRule="auto"/>
        <w:ind w:left="110" w:right="135"/>
      </w:pPr>
      <w:r>
        <w:rPr/>
        <w:t>The majority of facilities identified themselves as community facilities (43%), followed by a community and sport facility (21%) and only 19% of facilities identified themselves as a sports facility and the majority of these sporting facilities identified were found to be under the ownership of the GAA. The data collected from the audit backs up local knowledge that would suggest there is a deficit of non GAA sporting facilities within County Cavan, specifically around sporting activities such as soccer and athletics. The Local Economic and Community Plan (LECP) identified that we have a growing youth population which will result in increased pressure to provide an outlet for our young people through sport and the appropriate facilities. It specifically states as an action within the plan that Cavan County Council is to ‘Develop a multi-purpose sports facility for the county’ and the findings from this report should add weight for such a need.</w:t>
      </w:r>
    </w:p>
    <w:p>
      <w:pPr>
        <w:pStyle w:val="BodyText"/>
        <w:rPr>
          <w:sz w:val="26"/>
        </w:rPr>
      </w:pPr>
    </w:p>
    <w:p>
      <w:pPr>
        <w:pStyle w:val="BodyText"/>
        <w:spacing w:line="360" w:lineRule="auto" w:before="191"/>
        <w:ind w:left="110" w:right="161"/>
      </w:pPr>
      <w:r>
        <w:rPr/>
        <w:t>Only 20 facilities responded that they were lined marked for sporting activities such as badminton, basketball, indoor soccer etc, only 36 facilities have an outdoor pitch available and only 10 facilities have an ‘All Weather Pitch’. These are very poor results to reflect the sporting facilities available within the facilities. Given the adverse weather</w:t>
      </w:r>
    </w:p>
    <w:p>
      <w:pPr>
        <w:spacing w:after="0" w:line="360" w:lineRule="auto"/>
        <w:sectPr>
          <w:footerReference w:type="default" r:id="rId33"/>
          <w:pgSz w:w="11910" w:h="17340"/>
          <w:pgMar w:footer="1014" w:header="759" w:top="940" w:bottom="1200" w:left="1460" w:right="980"/>
          <w:pgNumType w:start="31"/>
        </w:sectPr>
      </w:pPr>
    </w:p>
    <w:p>
      <w:pPr>
        <w:pStyle w:val="BodyText"/>
        <w:spacing w:before="7"/>
        <w:rPr>
          <w:sz w:val="15"/>
        </w:rPr>
      </w:pPr>
    </w:p>
    <w:p>
      <w:pPr>
        <w:pStyle w:val="BodyText"/>
        <w:spacing w:line="360" w:lineRule="auto" w:before="92"/>
        <w:ind w:left="110" w:right="161"/>
      </w:pPr>
      <w:r>
        <w:rPr/>
        <w:t>conditions that often occur in Ireland the availability of an all weather pitch and indoor sporting facilities are important for sporting and community organisations. More supports for facilities to improve their level of provision of sporting facilities and activities within the county are needed. The area of health and well being is becoming an increasingly important aspect for our society and one which should be encouraged. It is recommended that Cavan Sports Partnership and other supporting organisations provide support to community organisations on how to develop sporting activities and facilities. This could be done by producing information packs and resources in hard- copy and electronic versions to distribute to community organisations in order to support and inform them on the process.</w:t>
      </w:r>
    </w:p>
    <w:p>
      <w:pPr>
        <w:pStyle w:val="BodyText"/>
        <w:rPr>
          <w:sz w:val="26"/>
        </w:rPr>
      </w:pPr>
    </w:p>
    <w:p>
      <w:pPr>
        <w:pStyle w:val="BodyText"/>
        <w:spacing w:line="360" w:lineRule="auto" w:before="190"/>
        <w:ind w:left="110" w:right="104"/>
      </w:pPr>
      <w:r>
        <w:rPr/>
        <w:t>Car parking is provided by the majority of facilities and this is adequately catered for with 31% of the facilities having between 11 to 50 car parking spaces and 25% having between 51 to 99 spaces. However 26% of facilities replied that they had limited availability, if any at all, and these would have been facilities located mainly within urban areas. Only 28% of facilities are serviced by public transport and just 2 facilities have their own bus. With so many of the facilities being based within rural locations the lack of public transport options could potentially prohibit groups such as the elderly and the young from accessing them. The Cavan Monaghan Transport Co-ordination Unit operates a ‘Once Off Community Transport Fund’. This fund is open for community groups to apply for on a once off basis but could only be useful for large scale events being held within the facilities. Car Pooling Schemes could be explored by older people’s groups such as the Older People’s Council under the remit of the Age Friendly Alliance to tackle this issue on a more sustainable</w:t>
      </w:r>
      <w:r>
        <w:rPr>
          <w:spacing w:val="-15"/>
        </w:rPr>
        <w:t> </w:t>
      </w:r>
      <w:r>
        <w:rPr/>
        <w:t>basis.</w:t>
      </w:r>
    </w:p>
    <w:p>
      <w:pPr>
        <w:pStyle w:val="BodyText"/>
        <w:rPr>
          <w:sz w:val="26"/>
        </w:rPr>
      </w:pPr>
    </w:p>
    <w:p>
      <w:pPr>
        <w:pStyle w:val="BodyText"/>
        <w:spacing w:line="360" w:lineRule="auto" w:before="155"/>
        <w:ind w:left="110" w:right="122"/>
      </w:pPr>
      <w:r>
        <w:rPr/>
        <w:t>The facilities audited seem to be well furnished with equipment and other such facilities such as access to toilets, kitchen facilities, furniture etc. However, only 50 premises stated that they had access to broadband. The provision of broadband is an issue across the county and would be an important aspect of running any modern facility. There is currently a new Digital Strategy being developed for County Cavan. This along with the roll out of the National Broadband Plan and other Government Initiatives will enable communities across the County, particularly in rural areas to avail of high speed</w:t>
      </w:r>
      <w:r>
        <w:rPr>
          <w:spacing w:val="-11"/>
        </w:rPr>
        <w:t> </w:t>
      </w:r>
      <w:r>
        <w:rPr/>
        <w:t>broadband.</w:t>
      </w:r>
    </w:p>
    <w:p>
      <w:pPr>
        <w:spacing w:after="0" w:line="360" w:lineRule="auto"/>
        <w:sectPr>
          <w:pgSz w:w="11910" w:h="17340"/>
          <w:pgMar w:header="759" w:footer="1014" w:top="940" w:bottom="1200" w:left="1460" w:right="1020"/>
        </w:sectPr>
      </w:pPr>
    </w:p>
    <w:p>
      <w:pPr>
        <w:pStyle w:val="BodyText"/>
        <w:spacing w:before="7"/>
        <w:rPr>
          <w:sz w:val="15"/>
        </w:rPr>
      </w:pPr>
    </w:p>
    <w:p>
      <w:pPr>
        <w:pStyle w:val="Heading3"/>
        <w:numPr>
          <w:ilvl w:val="1"/>
          <w:numId w:val="8"/>
        </w:numPr>
        <w:tabs>
          <w:tab w:pos="829" w:val="left" w:leader="none"/>
          <w:tab w:pos="830" w:val="left" w:leader="none"/>
          <w:tab w:pos="9349" w:val="left" w:leader="none"/>
        </w:tabs>
        <w:spacing w:line="240" w:lineRule="auto" w:before="92" w:after="0"/>
        <w:ind w:left="830" w:right="0" w:hanging="720"/>
        <w:jc w:val="left"/>
        <w:rPr>
          <w:u w:val="none"/>
        </w:rPr>
      </w:pPr>
      <w:r>
        <w:rPr>
          <w:shd w:fill="C5D9F0" w:color="auto" w:val="clear"/>
          <w:u w:val="none"/>
        </w:rPr>
        <w:t>Ownership</w:t>
      </w:r>
      <w:r>
        <w:rPr>
          <w:spacing w:val="-4"/>
          <w:shd w:fill="FFFFFF" w:color="auto" w:val="clear"/>
          <w:u w:val="none"/>
        </w:rPr>
        <w:t> </w:t>
      </w:r>
      <w:r>
        <w:rPr>
          <w:shd w:fill="C5D9F0" w:color="auto" w:val="clear"/>
          <w:u w:val="none"/>
        </w:rPr>
        <w:t>/Management</w:t>
        <w:tab/>
      </w:r>
    </w:p>
    <w:p>
      <w:pPr>
        <w:pStyle w:val="BodyText"/>
        <w:rPr>
          <w:b/>
          <w:sz w:val="26"/>
        </w:rPr>
      </w:pPr>
    </w:p>
    <w:p>
      <w:pPr>
        <w:pStyle w:val="BodyText"/>
        <w:spacing w:before="11"/>
        <w:rPr>
          <w:b/>
          <w:sz w:val="21"/>
        </w:rPr>
      </w:pPr>
    </w:p>
    <w:p>
      <w:pPr>
        <w:pStyle w:val="BodyText"/>
        <w:spacing w:line="360" w:lineRule="auto"/>
        <w:ind w:left="110" w:right="362"/>
      </w:pPr>
      <w:r>
        <w:rPr/>
        <w:t>The majority of facilities are managed by a ‘club or association’ (39%) followed by a ‘company Ltd. by guarantee’. The high level of facilities managed by a ‘club or association’ would indicate a large percentage of voluntary contribution. The low percentage of facilities (18%) ‘vested in the parish’ would suggest a move away from the more traditional management structure.</w:t>
      </w:r>
    </w:p>
    <w:p>
      <w:pPr>
        <w:pStyle w:val="BodyText"/>
        <w:spacing w:before="3"/>
        <w:rPr>
          <w:sz w:val="36"/>
        </w:rPr>
      </w:pPr>
    </w:p>
    <w:p>
      <w:pPr>
        <w:pStyle w:val="BodyText"/>
        <w:spacing w:line="360" w:lineRule="auto" w:before="1"/>
        <w:ind w:left="110" w:right="156"/>
      </w:pPr>
      <w:r>
        <w:rPr/>
        <w:t>In terms of staffing arrangements for the facilities, the majority are staffed either voluntarily or by staff members who are on work experience schemes such as TÚS, the CE scheme or the Rural Social Scheme. This demonstrates the importance of these schemes to voluntary projects on the grounds however they would not be sustainable in the long term as these schemes can only take on someone over a limited time period. In situations were facilities are finding it difficult to access volunteers they should register with the newly established County Cavan Volunteer Information Service. This service would be able to provide assistance to those facilities looking for volunteers.</w:t>
      </w:r>
    </w:p>
    <w:p>
      <w:pPr>
        <w:pStyle w:val="BodyText"/>
        <w:spacing w:before="4"/>
        <w:rPr>
          <w:sz w:val="36"/>
        </w:rPr>
      </w:pPr>
    </w:p>
    <w:p>
      <w:pPr>
        <w:pStyle w:val="BodyText"/>
        <w:ind w:left="110"/>
      </w:pPr>
      <w:r>
        <w:rPr/>
        <w:t>Over half of those who responded (53%) indicated that their facilities were opened 30</w:t>
      </w:r>
    </w:p>
    <w:p>
      <w:pPr>
        <w:pStyle w:val="BodyText"/>
        <w:spacing w:line="360" w:lineRule="auto" w:before="139"/>
        <w:ind w:left="110" w:right="448"/>
      </w:pPr>
      <w:r>
        <w:rPr/>
        <w:t>+ hours per week. This suggests that the facilities are being well utilised by the local populations.</w:t>
      </w:r>
    </w:p>
    <w:p>
      <w:pPr>
        <w:pStyle w:val="BodyText"/>
        <w:spacing w:before="3"/>
        <w:rPr>
          <w:sz w:val="36"/>
        </w:rPr>
      </w:pPr>
    </w:p>
    <w:p>
      <w:pPr>
        <w:pStyle w:val="BodyText"/>
        <w:spacing w:line="360" w:lineRule="auto" w:before="1"/>
        <w:ind w:left="110" w:right="156"/>
      </w:pPr>
      <w:r>
        <w:rPr/>
        <w:t>The types of insurances taken out for the facilities would largely depend on the nature of their activities. However there is a minimum requirement of public liability for facilities which almost all the facilities have (97%). However the facilities were less likely to have other types of insurance policies which would also provide important cover, such as Burglary Cover (18%), Property Damage Cover (41%). The rising cost of insurance can be an issue for some community groups and there is some anecdotal evidence to suggest that in some cases insurance companies have been known to decline to cover. Group insurance schemes may be a good option for facilities facing such problems to explore further, with assistance from the Public Participation</w:t>
      </w:r>
      <w:r>
        <w:rPr>
          <w:spacing w:val="-34"/>
        </w:rPr>
        <w:t> </w:t>
      </w:r>
      <w:r>
        <w:rPr/>
        <w:t>Network (PPN).</w:t>
      </w:r>
    </w:p>
    <w:p>
      <w:pPr>
        <w:pStyle w:val="BodyText"/>
        <w:spacing w:before="4"/>
        <w:rPr>
          <w:sz w:val="36"/>
        </w:rPr>
      </w:pPr>
    </w:p>
    <w:p>
      <w:pPr>
        <w:pStyle w:val="BodyText"/>
        <w:spacing w:line="360" w:lineRule="auto"/>
        <w:ind w:left="110" w:right="255"/>
      </w:pPr>
      <w:r>
        <w:rPr/>
        <w:t>Up to 69% of funding received by the facilities was reported as being self- generated through fundraising activities; this suggests that the facilities are largely self-sufficient.</w:t>
      </w:r>
    </w:p>
    <w:p>
      <w:pPr>
        <w:spacing w:after="0" w:line="360" w:lineRule="auto"/>
        <w:sectPr>
          <w:pgSz w:w="11910" w:h="17340"/>
          <w:pgMar w:header="759" w:footer="1014" w:top="940" w:bottom="1200" w:left="1460" w:right="980"/>
        </w:sectPr>
      </w:pPr>
    </w:p>
    <w:p>
      <w:pPr>
        <w:pStyle w:val="BodyText"/>
        <w:spacing w:before="7"/>
        <w:rPr>
          <w:sz w:val="15"/>
        </w:rPr>
      </w:pPr>
    </w:p>
    <w:p>
      <w:pPr>
        <w:pStyle w:val="BodyText"/>
        <w:spacing w:line="360" w:lineRule="auto" w:before="92"/>
        <w:ind w:left="110" w:right="162"/>
      </w:pPr>
      <w:r>
        <w:rPr/>
        <w:t>However only 13 facilities reported that they would apply for grant aid to generate funds. If the facilities are to develop and grow, rather than merely maintain current operations, investment in grant schemes for rural and urban regeneration projects such as sporting and social amenities, and skills training is needed. There is currently a significant amount of grant aid available for projects. While this is encouraging, the application process for many of these funding streams has become increasingly complex along with the subsequent funding administration procedures required to be maintained by the successful applicants. In order to support the management groups over these facilities to access these funds training and advice should be provided to equip them with these necessary skills to successfully access these funds. It should also be born in mind however that while an increase in the amount of funding being made available can provide an amenities boost to local areas, sustainability must be the key if any progress is to be maintained.</w:t>
      </w:r>
    </w:p>
    <w:p>
      <w:pPr>
        <w:pStyle w:val="BodyText"/>
        <w:spacing w:before="3"/>
        <w:rPr>
          <w:sz w:val="36"/>
        </w:rPr>
      </w:pPr>
    </w:p>
    <w:p>
      <w:pPr>
        <w:pStyle w:val="BodyText"/>
        <w:spacing w:line="360" w:lineRule="auto"/>
        <w:ind w:left="110" w:right="361"/>
      </w:pPr>
      <w:r>
        <w:rPr/>
        <w:t>In terms of health and safety procedures, having an ‘Exit strategy in the case of fire’ was the most commonly implemented procedure with 80% of premises having this, followed by 76% of facilities having a ‘Health &amp; Safety Policy’. There is room for improvement within this area, only 71% of the facilities said they have a ‘Fire Certificate’ for their premises and this would be a basic requirement for all public buildings to have. The </w:t>
      </w:r>
      <w:hyperlink r:id="rId34">
        <w:r>
          <w:rPr/>
          <w:t>Building Control Regulations 1997 to 2013 </w:t>
        </w:r>
      </w:hyperlink>
      <w:r>
        <w:rPr/>
        <w:t>provide, among other things, for a system of Fire Safety Certificates to show that building designs comply with fire safety requirements. If a facility is operating without a certificate it leaves itself open to prosecution under building control legislation. All the facilities should have these relevant health and safety requirements and procedure in place from the start if they are operating as public buildings.</w:t>
      </w:r>
    </w:p>
    <w:p>
      <w:pPr>
        <w:pStyle w:val="BodyText"/>
        <w:spacing w:before="3"/>
        <w:rPr>
          <w:sz w:val="36"/>
        </w:rPr>
      </w:pPr>
    </w:p>
    <w:p>
      <w:pPr>
        <w:pStyle w:val="BodyText"/>
        <w:spacing w:line="360" w:lineRule="auto"/>
        <w:ind w:left="110" w:right="94"/>
      </w:pPr>
      <w:r>
        <w:rPr/>
        <w:t>Up to 90 respondents indicated that the committee running their facility would be interested in participating in Community Development Training. The delivery of this training is a specific action within the LECP, with Breffni Integrated leading out on this.</w:t>
      </w:r>
    </w:p>
    <w:p>
      <w:pPr>
        <w:pStyle w:val="BodyText"/>
        <w:spacing w:before="3"/>
        <w:rPr>
          <w:sz w:val="36"/>
        </w:rPr>
      </w:pPr>
    </w:p>
    <w:p>
      <w:pPr>
        <w:pStyle w:val="BodyText"/>
        <w:spacing w:line="360" w:lineRule="auto"/>
        <w:ind w:left="110" w:right="95"/>
      </w:pPr>
      <w:r>
        <w:rPr/>
        <w:t>The local development company should target their training programmes towards these community groups or indeed develop specific training programmes to meet their needs.</w:t>
      </w:r>
    </w:p>
    <w:p>
      <w:pPr>
        <w:spacing w:after="0" w:line="360" w:lineRule="auto"/>
        <w:sectPr>
          <w:pgSz w:w="11910" w:h="17340"/>
          <w:pgMar w:header="759" w:footer="1014" w:top="940" w:bottom="1200" w:left="1460" w:right="1100"/>
        </w:sectPr>
      </w:pPr>
    </w:p>
    <w:p>
      <w:pPr>
        <w:pStyle w:val="BodyText"/>
        <w:spacing w:before="7"/>
        <w:rPr>
          <w:sz w:val="15"/>
        </w:rPr>
      </w:pPr>
    </w:p>
    <w:p>
      <w:pPr>
        <w:pStyle w:val="Heading3"/>
        <w:numPr>
          <w:ilvl w:val="1"/>
          <w:numId w:val="8"/>
        </w:numPr>
        <w:tabs>
          <w:tab w:pos="829" w:val="left" w:leader="none"/>
          <w:tab w:pos="830" w:val="left" w:leader="none"/>
          <w:tab w:pos="9349" w:val="left" w:leader="none"/>
        </w:tabs>
        <w:spacing w:line="240" w:lineRule="auto" w:before="92" w:after="0"/>
        <w:ind w:left="830" w:right="0" w:hanging="720"/>
        <w:jc w:val="left"/>
        <w:rPr>
          <w:u w:val="none"/>
        </w:rPr>
      </w:pPr>
      <w:r>
        <w:rPr>
          <w:shd w:fill="C5D9F0" w:color="auto" w:val="clear"/>
          <w:u w:val="none"/>
        </w:rPr>
        <w:t>Size</w:t>
      </w:r>
      <w:r>
        <w:rPr>
          <w:shd w:fill="FFFFFF" w:color="auto" w:val="clear"/>
          <w:u w:val="none"/>
        </w:rPr>
        <w:t> </w:t>
      </w:r>
      <w:r>
        <w:rPr>
          <w:shd w:fill="C5D9F0" w:color="auto" w:val="clear"/>
          <w:u w:val="none"/>
        </w:rPr>
        <w:t>&amp;</w:t>
      </w:r>
      <w:r>
        <w:rPr>
          <w:shd w:fill="FFFFFF" w:color="auto" w:val="clear"/>
          <w:u w:val="none"/>
        </w:rPr>
        <w:t> </w:t>
      </w:r>
      <w:r>
        <w:rPr>
          <w:shd w:fill="C5D9F0" w:color="auto" w:val="clear"/>
          <w:u w:val="none"/>
        </w:rPr>
        <w:t>Condition</w:t>
      </w:r>
      <w:r>
        <w:rPr>
          <w:shd w:fill="FFFFFF" w:color="auto" w:val="clear"/>
          <w:u w:val="none"/>
        </w:rPr>
        <w:t> </w:t>
      </w:r>
      <w:r>
        <w:rPr>
          <w:shd w:fill="C5D9F0" w:color="auto" w:val="clear"/>
          <w:u w:val="none"/>
        </w:rPr>
        <w:t>of</w:t>
      </w:r>
      <w:r>
        <w:rPr>
          <w:spacing w:val="-7"/>
          <w:shd w:fill="FFFFFF" w:color="auto" w:val="clear"/>
          <w:u w:val="none"/>
        </w:rPr>
        <w:t> </w:t>
      </w:r>
      <w:r>
        <w:rPr>
          <w:shd w:fill="C5D9F0" w:color="auto" w:val="clear"/>
          <w:u w:val="none"/>
        </w:rPr>
        <w:t>Facilities</w:t>
        <w:tab/>
      </w:r>
    </w:p>
    <w:p>
      <w:pPr>
        <w:pStyle w:val="BodyText"/>
        <w:rPr>
          <w:b/>
          <w:sz w:val="26"/>
        </w:rPr>
      </w:pPr>
    </w:p>
    <w:p>
      <w:pPr>
        <w:pStyle w:val="BodyText"/>
        <w:spacing w:before="11"/>
        <w:rPr>
          <w:b/>
          <w:sz w:val="21"/>
        </w:rPr>
      </w:pPr>
    </w:p>
    <w:p>
      <w:pPr>
        <w:pStyle w:val="BodyText"/>
        <w:spacing w:line="360" w:lineRule="auto"/>
        <w:ind w:left="110" w:right="162"/>
      </w:pPr>
      <w:r>
        <w:rPr/>
        <w:t>Only 12 facilities had a computer suite which can be used for training purposes. Equipping community centres with up to date information technology hardware and software is essential in reducing the digital divide. Pilot initiatives in community centres could be undertaken.</w:t>
      </w:r>
    </w:p>
    <w:p>
      <w:pPr>
        <w:pStyle w:val="BodyText"/>
        <w:rPr>
          <w:sz w:val="26"/>
        </w:rPr>
      </w:pPr>
    </w:p>
    <w:p>
      <w:pPr>
        <w:pStyle w:val="BodyText"/>
        <w:spacing w:line="360" w:lineRule="auto" w:before="191"/>
        <w:ind w:left="110" w:right="166"/>
      </w:pPr>
      <w:r>
        <w:rPr/>
        <w:t>Almost all of the facilities (86%) reported that they had </w:t>
      </w:r>
      <w:r>
        <w:rPr>
          <w:spacing w:val="1"/>
        </w:rPr>
        <w:t>at </w:t>
      </w:r>
      <w:r>
        <w:rPr/>
        <w:t>least one meeting room available for their local communities to use. This is an important resource to the long term sustainability of community facilities. They can often generate much needed extra income. However many of the facilities located within urban areas would be limited in the number of people they could cater for and if there was a large scale event to take place, space may serve to be a particular problem. This is particularly evident in Cavan Town where this need was also identified during consultations carried out for the Local Economic and Community Plan (LECP). The LECP has a specific action which identified the need for a particular community venue to be located within walking distance of the town which would be large enough to accommodate different groups and type of</w:t>
      </w:r>
      <w:r>
        <w:rPr>
          <w:spacing w:val="-4"/>
        </w:rPr>
        <w:t> </w:t>
      </w:r>
      <w:r>
        <w:rPr/>
        <w:t>uses.</w:t>
      </w:r>
    </w:p>
    <w:p>
      <w:pPr>
        <w:pStyle w:val="BodyText"/>
        <w:rPr>
          <w:sz w:val="26"/>
        </w:rPr>
      </w:pPr>
    </w:p>
    <w:p>
      <w:pPr>
        <w:pStyle w:val="BodyText"/>
        <w:spacing w:line="360" w:lineRule="auto" w:before="191"/>
        <w:ind w:left="110" w:right="175"/>
      </w:pPr>
      <w:r>
        <w:rPr/>
        <w:t>Many facilities would have been newly built between 2001 and 2016 (33%), followed by 25% of the facilities being built pre-1900. However many of these older facilities would have had refurbishments works carried out. As a result of the high number of new builds and newly refurbished premises, the majority of facilities (86%) report that they were in either excellent or good condition. This would suggest that the community and voluntary sector has been successful to date in leveraging both funding and support from relevant bodies such as Departments, State Agencies, Local Development Bodies and Cavan County Council, i.e. Dormant Accounts, LEADER, Local Authority Grants, PEACE funding etc.</w:t>
      </w:r>
    </w:p>
    <w:p>
      <w:pPr>
        <w:pStyle w:val="BodyText"/>
        <w:spacing w:before="3"/>
        <w:rPr>
          <w:sz w:val="28"/>
        </w:rPr>
      </w:pPr>
    </w:p>
    <w:p>
      <w:pPr>
        <w:pStyle w:val="Heading3"/>
        <w:numPr>
          <w:ilvl w:val="1"/>
          <w:numId w:val="8"/>
        </w:numPr>
        <w:tabs>
          <w:tab w:pos="514" w:val="left" w:leader="none"/>
          <w:tab w:pos="9349" w:val="left" w:leader="none"/>
        </w:tabs>
        <w:spacing w:line="240" w:lineRule="auto" w:before="93" w:after="0"/>
        <w:ind w:left="513" w:right="0" w:hanging="403"/>
        <w:jc w:val="left"/>
        <w:rPr>
          <w:u w:val="none"/>
        </w:rPr>
      </w:pPr>
      <w:r>
        <w:rPr>
          <w:shd w:fill="C5D9F0" w:color="auto" w:val="clear"/>
          <w:u w:val="none"/>
        </w:rPr>
        <w:t>Facility</w:t>
      </w:r>
      <w:r>
        <w:rPr>
          <w:spacing w:val="-11"/>
          <w:shd w:fill="FFFFFF" w:color="auto" w:val="clear"/>
          <w:u w:val="none"/>
        </w:rPr>
        <w:t> </w:t>
      </w:r>
      <w:r>
        <w:rPr>
          <w:shd w:fill="C5D9F0" w:color="auto" w:val="clear"/>
          <w:u w:val="none"/>
        </w:rPr>
        <w:t>Users</w:t>
        <w:tab/>
      </w:r>
    </w:p>
    <w:p>
      <w:pPr>
        <w:pStyle w:val="BodyText"/>
        <w:rPr>
          <w:b/>
          <w:sz w:val="26"/>
        </w:rPr>
      </w:pPr>
    </w:p>
    <w:p>
      <w:pPr>
        <w:pStyle w:val="BodyText"/>
        <w:rPr>
          <w:b/>
          <w:sz w:val="22"/>
        </w:rPr>
      </w:pPr>
    </w:p>
    <w:p>
      <w:pPr>
        <w:pStyle w:val="BodyText"/>
        <w:spacing w:line="360" w:lineRule="auto"/>
        <w:ind w:left="110" w:right="309"/>
      </w:pPr>
      <w:r>
        <w:rPr/>
        <w:t>The majority of the facilities (78%) surveyed stated that they are primarily available to the ‘General Community’ to use. However greater emphasis must be placed on the adoption of equal usage policies by facilities, as only 27% (33) facilities had this in place, while only 49% (59) monitor the diversity of people using their facility. Active</w:t>
      </w:r>
    </w:p>
    <w:p>
      <w:pPr>
        <w:spacing w:after="0" w:line="360" w:lineRule="auto"/>
        <w:sectPr>
          <w:pgSz w:w="11910" w:h="17340"/>
          <w:pgMar w:header="759" w:footer="1014" w:top="940" w:bottom="1200" w:left="1460" w:right="980"/>
        </w:sectPr>
      </w:pPr>
    </w:p>
    <w:p>
      <w:pPr>
        <w:pStyle w:val="BodyText"/>
        <w:spacing w:before="7"/>
        <w:rPr>
          <w:sz w:val="15"/>
        </w:rPr>
      </w:pPr>
    </w:p>
    <w:p>
      <w:pPr>
        <w:pStyle w:val="BodyText"/>
        <w:spacing w:line="360" w:lineRule="auto" w:before="92"/>
        <w:ind w:left="110" w:right="354"/>
      </w:pPr>
      <w:r>
        <w:rPr/>
        <w:t>promotion of equal usage encourages participation for students, unemployed, ethnic minorities etc.</w:t>
      </w:r>
    </w:p>
    <w:p>
      <w:pPr>
        <w:pStyle w:val="BodyText"/>
        <w:spacing w:before="3"/>
        <w:rPr>
          <w:sz w:val="36"/>
        </w:rPr>
      </w:pPr>
    </w:p>
    <w:p>
      <w:pPr>
        <w:pStyle w:val="BodyText"/>
        <w:spacing w:line="360" w:lineRule="auto"/>
        <w:ind w:left="110" w:right="89"/>
      </w:pPr>
      <w:r>
        <w:rPr/>
        <w:t>Accessibility is a necessary prerequisite to building better communities therefore it was decided to look at how accessible the facilities were for people with a disability. It was found that the majority of facilities were wheelchair accessible (85%). However there are opportunities to make further improvements within this area.</w:t>
      </w:r>
    </w:p>
    <w:p>
      <w:pPr>
        <w:pStyle w:val="ListParagraph"/>
        <w:numPr>
          <w:ilvl w:val="0"/>
          <w:numId w:val="9"/>
        </w:numPr>
        <w:tabs>
          <w:tab w:pos="1189" w:val="left" w:leader="none"/>
          <w:tab w:pos="1190" w:val="left" w:leader="none"/>
        </w:tabs>
        <w:spacing w:line="360" w:lineRule="auto" w:before="2" w:after="0"/>
        <w:ind w:left="1190" w:right="232" w:hanging="360"/>
        <w:jc w:val="left"/>
        <w:rPr>
          <w:sz w:val="24"/>
        </w:rPr>
      </w:pPr>
      <w:r>
        <w:rPr>
          <w:sz w:val="24"/>
        </w:rPr>
        <w:t>The management groups over the facilities should consider participating on the Age Friendly Business Recognition Programme. This is a national programme developed by Age Friendly Ireland and while it has been primarily targeted at businesses, it would also be relevant for anyone operating a community facility to participate on. The programme looks at how access to facilities can be improved for older people and it also raises awareness in general around the needs of older people. With society’s ageing demographics, particularly in rural areas, this would represent a large proportion of people who use the</w:t>
      </w:r>
      <w:r>
        <w:rPr>
          <w:spacing w:val="-14"/>
          <w:sz w:val="24"/>
        </w:rPr>
        <w:t> </w:t>
      </w:r>
      <w:r>
        <w:rPr>
          <w:sz w:val="24"/>
        </w:rPr>
        <w:t>facilities.</w:t>
      </w:r>
    </w:p>
    <w:p>
      <w:pPr>
        <w:pStyle w:val="ListParagraph"/>
        <w:numPr>
          <w:ilvl w:val="0"/>
          <w:numId w:val="9"/>
        </w:numPr>
        <w:tabs>
          <w:tab w:pos="1189" w:val="left" w:leader="none"/>
          <w:tab w:pos="1190" w:val="left" w:leader="none"/>
        </w:tabs>
        <w:spacing w:line="360" w:lineRule="auto" w:before="2" w:after="0"/>
        <w:ind w:left="1190" w:right="211" w:hanging="360"/>
        <w:jc w:val="left"/>
        <w:rPr>
          <w:sz w:val="24"/>
        </w:rPr>
      </w:pPr>
      <w:r>
        <w:rPr>
          <w:sz w:val="24"/>
        </w:rPr>
        <w:t>Cavan County Council’s Cavan County Council’s Access Officer would also be able to provide advice and assistance to facilities on how to improve accessibility and this could be looked at in conjunction with the Walkability/Access Audits which are to be conducted through the Town Teams</w:t>
      </w:r>
      <w:r>
        <w:rPr>
          <w:spacing w:val="-9"/>
          <w:sz w:val="24"/>
        </w:rPr>
        <w:t> </w:t>
      </w:r>
      <w:r>
        <w:rPr>
          <w:sz w:val="24"/>
        </w:rPr>
        <w:t>Initiative.</w:t>
      </w:r>
    </w:p>
    <w:p>
      <w:pPr>
        <w:pStyle w:val="ListParagraph"/>
        <w:numPr>
          <w:ilvl w:val="0"/>
          <w:numId w:val="9"/>
        </w:numPr>
        <w:tabs>
          <w:tab w:pos="1189" w:val="left" w:leader="none"/>
          <w:tab w:pos="1190" w:val="left" w:leader="none"/>
        </w:tabs>
        <w:spacing w:line="360" w:lineRule="auto" w:before="4" w:after="0"/>
        <w:ind w:left="1190" w:right="264" w:hanging="360"/>
        <w:jc w:val="left"/>
        <w:rPr>
          <w:sz w:val="24"/>
        </w:rPr>
      </w:pPr>
      <w:r>
        <w:rPr>
          <w:sz w:val="24"/>
        </w:rPr>
        <w:t>The Disabled Go Access Initiative which Cavan County Council has signed up to should be extended to include community &amp; sporting facilities also within the county. Through this initiative detailed surveys are conducted by experienced access surveyors to assess the overall accessibility of premises. This information is then put up on a public website for the public to view and avail</w:t>
      </w:r>
      <w:r>
        <w:rPr>
          <w:spacing w:val="-4"/>
          <w:sz w:val="24"/>
        </w:rPr>
        <w:t> </w:t>
      </w:r>
      <w:r>
        <w:rPr>
          <w:sz w:val="24"/>
        </w:rPr>
        <w:t>of.</w:t>
      </w:r>
    </w:p>
    <w:p>
      <w:pPr>
        <w:spacing w:after="0" w:line="360" w:lineRule="auto"/>
        <w:jc w:val="left"/>
        <w:rPr>
          <w:sz w:val="24"/>
        </w:rPr>
        <w:sectPr>
          <w:pgSz w:w="11910" w:h="17340"/>
          <w:pgMar w:header="759" w:footer="1014" w:top="940" w:bottom="1200" w:left="1460" w:right="1040"/>
        </w:sectPr>
      </w:pPr>
    </w:p>
    <w:p>
      <w:pPr>
        <w:pStyle w:val="BodyText"/>
        <w:rPr>
          <w:sz w:val="20"/>
        </w:rPr>
      </w:pPr>
    </w:p>
    <w:p>
      <w:pPr>
        <w:pStyle w:val="BodyText"/>
        <w:rPr>
          <w:sz w:val="20"/>
        </w:rPr>
      </w:pPr>
    </w:p>
    <w:p>
      <w:pPr>
        <w:spacing w:before="224"/>
        <w:ind w:left="3563" w:right="3498" w:firstLine="0"/>
        <w:jc w:val="center"/>
        <w:rPr>
          <w:b/>
          <w:sz w:val="40"/>
        </w:rPr>
      </w:pPr>
      <w:r>
        <w:rPr>
          <w:b/>
          <w:sz w:val="40"/>
          <w:u w:val="thick"/>
        </w:rPr>
        <w:t>Appendices</w:t>
      </w:r>
    </w:p>
    <w:p>
      <w:pPr>
        <w:pStyle w:val="Heading3"/>
        <w:spacing w:line="360" w:lineRule="auto" w:before="232"/>
        <w:ind w:right="92"/>
        <w:rPr>
          <w:u w:val="none"/>
        </w:rPr>
      </w:pPr>
      <w:r>
        <w:rPr>
          <w:u w:val="thick"/>
        </w:rPr>
        <w:t>Appendix 1: Distribution of Community Facilities in County Cavan from the 2009</w:t>
      </w:r>
      <w:r>
        <w:rPr>
          <w:u w:val="none"/>
        </w:rPr>
        <w:t> </w:t>
      </w:r>
      <w:r>
        <w:rPr>
          <w:u w:val="thick"/>
        </w:rPr>
        <w:t>Audit</w:t>
      </w:r>
    </w:p>
    <w:p>
      <w:pPr>
        <w:pStyle w:val="BodyText"/>
        <w:rPr>
          <w:b/>
          <w:sz w:val="20"/>
        </w:rPr>
      </w:pPr>
    </w:p>
    <w:p>
      <w:pPr>
        <w:pStyle w:val="BodyText"/>
        <w:rPr>
          <w:b/>
          <w:sz w:val="13"/>
        </w:rPr>
      </w:pPr>
      <w:r>
        <w:rPr/>
        <w:drawing>
          <wp:anchor distT="0" distB="0" distL="0" distR="0" allowOverlap="1" layoutInCell="1" locked="0" behindDoc="0" simplePos="0" relativeHeight="4408">
            <wp:simplePos x="0" y="0"/>
            <wp:positionH relativeFrom="page">
              <wp:posOffset>1015364</wp:posOffset>
            </wp:positionH>
            <wp:positionV relativeFrom="paragraph">
              <wp:posOffset>120157</wp:posOffset>
            </wp:positionV>
            <wp:extent cx="5481490" cy="3148965"/>
            <wp:effectExtent l="0" t="0" r="0" b="0"/>
            <wp:wrapTopAndBottom/>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37" cstate="print"/>
                    <a:stretch>
                      <a:fillRect/>
                    </a:stretch>
                  </pic:blipFill>
                  <pic:spPr>
                    <a:xfrm>
                      <a:off x="0" y="0"/>
                      <a:ext cx="5481490" cy="3148965"/>
                    </a:xfrm>
                    <a:prstGeom prst="rect">
                      <a:avLst/>
                    </a:prstGeom>
                  </pic:spPr>
                </pic:pic>
              </a:graphicData>
            </a:graphic>
          </wp:anchor>
        </w:drawing>
      </w:r>
    </w:p>
    <w:p>
      <w:pPr>
        <w:spacing w:after="0"/>
        <w:rPr>
          <w:sz w:val="13"/>
        </w:rPr>
        <w:sectPr>
          <w:headerReference w:type="default" r:id="rId35"/>
          <w:footerReference w:type="default" r:id="rId36"/>
          <w:pgSz w:w="11910" w:h="17340"/>
          <w:pgMar w:header="759" w:footer="0" w:top="940" w:bottom="280" w:left="1460" w:right="1080"/>
        </w:sectPr>
      </w:pPr>
    </w:p>
    <w:p>
      <w:pPr>
        <w:pStyle w:val="BodyText"/>
        <w:spacing w:before="7"/>
        <w:rPr>
          <w:b/>
          <w:sz w:val="15"/>
        </w:rPr>
      </w:pPr>
    </w:p>
    <w:p>
      <w:pPr>
        <w:pStyle w:val="Heading3"/>
        <w:spacing w:before="92"/>
        <w:ind w:left="130"/>
        <w:rPr>
          <w:u w:val="none"/>
        </w:rPr>
      </w:pPr>
      <w:r>
        <w:rPr>
          <w:u w:val="thick"/>
        </w:rPr>
        <w:t>Appendix 2: Survey Respondents</w:t>
      </w:r>
    </w:p>
    <w:p>
      <w:pPr>
        <w:pStyle w:val="BodyText"/>
        <w:rPr>
          <w:b/>
          <w:sz w:val="1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6141"/>
      </w:tblGrid>
      <w:tr>
        <w:trPr>
          <w:trHeight w:val="300" w:hRule="atLeast"/>
        </w:trPr>
        <w:tc>
          <w:tcPr>
            <w:tcW w:w="960" w:type="dxa"/>
            <w:tcBorders>
              <w:top w:val="nil"/>
              <w:left w:val="nil"/>
            </w:tcBorders>
          </w:tcPr>
          <w:p>
            <w:pPr>
              <w:pStyle w:val="TableParagraph"/>
              <w:spacing w:before="36"/>
              <w:ind w:left="105"/>
              <w:rPr>
                <w:b/>
                <w:sz w:val="24"/>
              </w:rPr>
            </w:pPr>
            <w:r>
              <w:rPr>
                <w:b/>
                <w:sz w:val="24"/>
              </w:rPr>
              <w:t>ID</w:t>
            </w:r>
          </w:p>
        </w:tc>
        <w:tc>
          <w:tcPr>
            <w:tcW w:w="6141" w:type="dxa"/>
          </w:tcPr>
          <w:p>
            <w:pPr>
              <w:pStyle w:val="TableParagraph"/>
              <w:spacing w:before="36"/>
              <w:ind w:left="100"/>
              <w:rPr>
                <w:b/>
                <w:sz w:val="24"/>
              </w:rPr>
            </w:pPr>
            <w:r>
              <w:rPr>
                <w:b/>
                <w:sz w:val="24"/>
              </w:rPr>
              <w:t>Name of Facility</w:t>
            </w:r>
          </w:p>
        </w:tc>
      </w:tr>
      <w:tr>
        <w:trPr>
          <w:trHeight w:val="280" w:hRule="atLeast"/>
        </w:trPr>
        <w:tc>
          <w:tcPr>
            <w:tcW w:w="960" w:type="dxa"/>
          </w:tcPr>
          <w:p>
            <w:pPr>
              <w:pStyle w:val="TableParagraph"/>
              <w:spacing w:before="19"/>
              <w:ind w:right="104"/>
              <w:jc w:val="right"/>
              <w:rPr>
                <w:sz w:val="24"/>
              </w:rPr>
            </w:pPr>
            <w:r>
              <w:rPr>
                <w:w w:val="99"/>
                <w:sz w:val="24"/>
              </w:rPr>
              <w:t>1</w:t>
            </w:r>
          </w:p>
        </w:tc>
        <w:tc>
          <w:tcPr>
            <w:tcW w:w="6141" w:type="dxa"/>
          </w:tcPr>
          <w:p>
            <w:pPr>
              <w:pStyle w:val="TableParagraph"/>
              <w:spacing w:before="19"/>
              <w:ind w:left="100"/>
              <w:rPr>
                <w:sz w:val="24"/>
              </w:rPr>
            </w:pPr>
            <w:r>
              <w:rPr>
                <w:sz w:val="24"/>
              </w:rPr>
              <w:t>Ashfield Parochial Hall</w:t>
            </w:r>
          </w:p>
        </w:tc>
      </w:tr>
      <w:tr>
        <w:trPr>
          <w:trHeight w:val="280" w:hRule="atLeast"/>
        </w:trPr>
        <w:tc>
          <w:tcPr>
            <w:tcW w:w="960" w:type="dxa"/>
          </w:tcPr>
          <w:p>
            <w:pPr>
              <w:pStyle w:val="TableParagraph"/>
              <w:spacing w:before="19"/>
              <w:ind w:right="104"/>
              <w:jc w:val="right"/>
              <w:rPr>
                <w:sz w:val="24"/>
              </w:rPr>
            </w:pPr>
            <w:r>
              <w:rPr>
                <w:w w:val="99"/>
                <w:sz w:val="24"/>
              </w:rPr>
              <w:t>2</w:t>
            </w:r>
          </w:p>
        </w:tc>
        <w:tc>
          <w:tcPr>
            <w:tcW w:w="6141" w:type="dxa"/>
          </w:tcPr>
          <w:p>
            <w:pPr>
              <w:pStyle w:val="TableParagraph"/>
              <w:spacing w:before="19"/>
              <w:ind w:left="100"/>
              <w:rPr>
                <w:sz w:val="24"/>
              </w:rPr>
            </w:pPr>
            <w:r>
              <w:rPr>
                <w:sz w:val="24"/>
              </w:rPr>
              <w:t>Bailieborough Arts and Cultural Centre</w:t>
            </w:r>
          </w:p>
        </w:tc>
      </w:tr>
      <w:tr>
        <w:trPr>
          <w:trHeight w:val="280" w:hRule="atLeast"/>
        </w:trPr>
        <w:tc>
          <w:tcPr>
            <w:tcW w:w="960" w:type="dxa"/>
          </w:tcPr>
          <w:p>
            <w:pPr>
              <w:pStyle w:val="TableParagraph"/>
              <w:spacing w:before="19"/>
              <w:ind w:right="104"/>
              <w:jc w:val="right"/>
              <w:rPr>
                <w:sz w:val="24"/>
              </w:rPr>
            </w:pPr>
            <w:r>
              <w:rPr>
                <w:w w:val="99"/>
                <w:sz w:val="24"/>
              </w:rPr>
              <w:t>3</w:t>
            </w:r>
          </w:p>
        </w:tc>
        <w:tc>
          <w:tcPr>
            <w:tcW w:w="6141" w:type="dxa"/>
          </w:tcPr>
          <w:p>
            <w:pPr>
              <w:pStyle w:val="TableParagraph"/>
              <w:spacing w:before="19"/>
              <w:ind w:left="100"/>
              <w:rPr>
                <w:sz w:val="24"/>
              </w:rPr>
            </w:pPr>
            <w:r>
              <w:rPr>
                <w:sz w:val="24"/>
              </w:rPr>
              <w:t>Bailieborough Business Centre</w:t>
            </w:r>
          </w:p>
        </w:tc>
      </w:tr>
      <w:tr>
        <w:trPr>
          <w:trHeight w:val="280" w:hRule="atLeast"/>
        </w:trPr>
        <w:tc>
          <w:tcPr>
            <w:tcW w:w="960" w:type="dxa"/>
          </w:tcPr>
          <w:p>
            <w:pPr>
              <w:pStyle w:val="TableParagraph"/>
              <w:spacing w:before="19"/>
              <w:ind w:right="104"/>
              <w:jc w:val="right"/>
              <w:rPr>
                <w:sz w:val="24"/>
              </w:rPr>
            </w:pPr>
            <w:r>
              <w:rPr>
                <w:w w:val="99"/>
                <w:sz w:val="24"/>
              </w:rPr>
              <w:t>4</w:t>
            </w:r>
          </w:p>
        </w:tc>
        <w:tc>
          <w:tcPr>
            <w:tcW w:w="6141" w:type="dxa"/>
          </w:tcPr>
          <w:p>
            <w:pPr>
              <w:pStyle w:val="TableParagraph"/>
              <w:spacing w:before="19"/>
              <w:ind w:left="100"/>
              <w:rPr>
                <w:sz w:val="24"/>
              </w:rPr>
            </w:pPr>
            <w:r>
              <w:rPr>
                <w:sz w:val="24"/>
              </w:rPr>
              <w:t>Bailieborough Community Centre</w:t>
            </w:r>
          </w:p>
        </w:tc>
      </w:tr>
      <w:tr>
        <w:trPr>
          <w:trHeight w:val="280" w:hRule="atLeast"/>
        </w:trPr>
        <w:tc>
          <w:tcPr>
            <w:tcW w:w="960" w:type="dxa"/>
          </w:tcPr>
          <w:p>
            <w:pPr>
              <w:pStyle w:val="TableParagraph"/>
              <w:spacing w:before="19"/>
              <w:ind w:right="104"/>
              <w:jc w:val="right"/>
              <w:rPr>
                <w:sz w:val="24"/>
              </w:rPr>
            </w:pPr>
            <w:r>
              <w:rPr>
                <w:w w:val="99"/>
                <w:sz w:val="24"/>
              </w:rPr>
              <w:t>5</w:t>
            </w:r>
          </w:p>
        </w:tc>
        <w:tc>
          <w:tcPr>
            <w:tcW w:w="6141" w:type="dxa"/>
          </w:tcPr>
          <w:p>
            <w:pPr>
              <w:pStyle w:val="TableParagraph"/>
              <w:spacing w:before="19"/>
              <w:ind w:left="100"/>
              <w:rPr>
                <w:sz w:val="24"/>
              </w:rPr>
            </w:pPr>
            <w:r>
              <w:rPr>
                <w:sz w:val="24"/>
              </w:rPr>
              <w:t>Bailieborough Community Resource House</w:t>
            </w:r>
          </w:p>
        </w:tc>
      </w:tr>
      <w:tr>
        <w:trPr>
          <w:trHeight w:val="300" w:hRule="atLeast"/>
        </w:trPr>
        <w:tc>
          <w:tcPr>
            <w:tcW w:w="960" w:type="dxa"/>
          </w:tcPr>
          <w:p>
            <w:pPr>
              <w:pStyle w:val="TableParagraph"/>
              <w:spacing w:before="22"/>
              <w:ind w:right="104"/>
              <w:jc w:val="right"/>
              <w:rPr>
                <w:sz w:val="24"/>
              </w:rPr>
            </w:pPr>
            <w:r>
              <w:rPr>
                <w:w w:val="99"/>
                <w:sz w:val="24"/>
              </w:rPr>
              <w:t>6</w:t>
            </w:r>
          </w:p>
        </w:tc>
        <w:tc>
          <w:tcPr>
            <w:tcW w:w="6141" w:type="dxa"/>
          </w:tcPr>
          <w:p>
            <w:pPr>
              <w:pStyle w:val="TableParagraph"/>
              <w:spacing w:before="22"/>
              <w:ind w:left="100"/>
              <w:rPr>
                <w:sz w:val="24"/>
              </w:rPr>
            </w:pPr>
            <w:r>
              <w:rPr>
                <w:sz w:val="24"/>
              </w:rPr>
              <w:t>Bailieborough Leisure Centre</w:t>
            </w:r>
          </w:p>
        </w:tc>
      </w:tr>
      <w:tr>
        <w:trPr>
          <w:trHeight w:val="280" w:hRule="atLeast"/>
        </w:trPr>
        <w:tc>
          <w:tcPr>
            <w:tcW w:w="960" w:type="dxa"/>
          </w:tcPr>
          <w:p>
            <w:pPr>
              <w:pStyle w:val="TableParagraph"/>
              <w:spacing w:before="19"/>
              <w:ind w:right="104"/>
              <w:jc w:val="right"/>
              <w:rPr>
                <w:sz w:val="24"/>
              </w:rPr>
            </w:pPr>
            <w:r>
              <w:rPr>
                <w:w w:val="99"/>
                <w:sz w:val="24"/>
              </w:rPr>
              <w:t>7</w:t>
            </w:r>
          </w:p>
        </w:tc>
        <w:tc>
          <w:tcPr>
            <w:tcW w:w="6141" w:type="dxa"/>
          </w:tcPr>
          <w:p>
            <w:pPr>
              <w:pStyle w:val="TableParagraph"/>
              <w:spacing w:before="19"/>
              <w:ind w:left="100"/>
              <w:rPr>
                <w:sz w:val="24"/>
              </w:rPr>
            </w:pPr>
            <w:r>
              <w:rPr>
                <w:sz w:val="24"/>
              </w:rPr>
              <w:t>Bailieborough Library</w:t>
            </w:r>
          </w:p>
        </w:tc>
      </w:tr>
      <w:tr>
        <w:trPr>
          <w:trHeight w:val="280" w:hRule="atLeast"/>
        </w:trPr>
        <w:tc>
          <w:tcPr>
            <w:tcW w:w="960" w:type="dxa"/>
          </w:tcPr>
          <w:p>
            <w:pPr>
              <w:pStyle w:val="TableParagraph"/>
              <w:spacing w:before="19"/>
              <w:ind w:right="104"/>
              <w:jc w:val="right"/>
              <w:rPr>
                <w:sz w:val="24"/>
              </w:rPr>
            </w:pPr>
            <w:r>
              <w:rPr>
                <w:w w:val="99"/>
                <w:sz w:val="24"/>
              </w:rPr>
              <w:t>8</w:t>
            </w:r>
          </w:p>
        </w:tc>
        <w:tc>
          <w:tcPr>
            <w:tcW w:w="6141" w:type="dxa"/>
          </w:tcPr>
          <w:p>
            <w:pPr>
              <w:pStyle w:val="TableParagraph"/>
              <w:spacing w:before="19"/>
              <w:ind w:left="100"/>
              <w:rPr>
                <w:sz w:val="24"/>
              </w:rPr>
            </w:pPr>
            <w:r>
              <w:rPr>
                <w:sz w:val="24"/>
              </w:rPr>
              <w:t>Ballinagh Community Centre</w:t>
            </w:r>
          </w:p>
        </w:tc>
      </w:tr>
      <w:tr>
        <w:trPr>
          <w:trHeight w:val="280" w:hRule="atLeast"/>
        </w:trPr>
        <w:tc>
          <w:tcPr>
            <w:tcW w:w="960" w:type="dxa"/>
          </w:tcPr>
          <w:p>
            <w:pPr>
              <w:pStyle w:val="TableParagraph"/>
              <w:spacing w:before="19"/>
              <w:ind w:right="104"/>
              <w:jc w:val="right"/>
              <w:rPr>
                <w:sz w:val="24"/>
              </w:rPr>
            </w:pPr>
            <w:r>
              <w:rPr>
                <w:w w:val="99"/>
                <w:sz w:val="24"/>
              </w:rPr>
              <w:t>9</w:t>
            </w:r>
          </w:p>
        </w:tc>
        <w:tc>
          <w:tcPr>
            <w:tcW w:w="6141" w:type="dxa"/>
          </w:tcPr>
          <w:p>
            <w:pPr>
              <w:pStyle w:val="TableParagraph"/>
              <w:spacing w:before="19"/>
              <w:ind w:left="100"/>
              <w:rPr>
                <w:sz w:val="24"/>
              </w:rPr>
            </w:pPr>
            <w:r>
              <w:rPr>
                <w:sz w:val="24"/>
              </w:rPr>
              <w:t>Ballyhaise Celtic Park</w:t>
            </w:r>
          </w:p>
        </w:tc>
      </w:tr>
      <w:tr>
        <w:trPr>
          <w:trHeight w:val="300" w:hRule="atLeast"/>
        </w:trPr>
        <w:tc>
          <w:tcPr>
            <w:tcW w:w="960" w:type="dxa"/>
          </w:tcPr>
          <w:p>
            <w:pPr>
              <w:pStyle w:val="TableParagraph"/>
              <w:spacing w:before="20"/>
              <w:ind w:right="102"/>
              <w:jc w:val="right"/>
              <w:rPr>
                <w:sz w:val="24"/>
              </w:rPr>
            </w:pPr>
            <w:r>
              <w:rPr>
                <w:sz w:val="24"/>
              </w:rPr>
              <w:t>10</w:t>
            </w:r>
          </w:p>
        </w:tc>
        <w:tc>
          <w:tcPr>
            <w:tcW w:w="6141" w:type="dxa"/>
          </w:tcPr>
          <w:p>
            <w:pPr>
              <w:pStyle w:val="TableParagraph"/>
              <w:spacing w:before="20"/>
              <w:ind w:left="100"/>
              <w:rPr>
                <w:sz w:val="24"/>
              </w:rPr>
            </w:pPr>
            <w:r>
              <w:rPr>
                <w:sz w:val="24"/>
              </w:rPr>
              <w:t>Ballyhaise Community Centre</w:t>
            </w:r>
          </w:p>
        </w:tc>
      </w:tr>
      <w:tr>
        <w:trPr>
          <w:trHeight w:val="280" w:hRule="atLeast"/>
        </w:trPr>
        <w:tc>
          <w:tcPr>
            <w:tcW w:w="960" w:type="dxa"/>
          </w:tcPr>
          <w:p>
            <w:pPr>
              <w:pStyle w:val="TableParagraph"/>
              <w:spacing w:before="19"/>
              <w:ind w:right="102"/>
              <w:jc w:val="right"/>
              <w:rPr>
                <w:sz w:val="24"/>
              </w:rPr>
            </w:pPr>
            <w:r>
              <w:rPr>
                <w:sz w:val="24"/>
              </w:rPr>
              <w:t>11</w:t>
            </w:r>
          </w:p>
        </w:tc>
        <w:tc>
          <w:tcPr>
            <w:tcW w:w="6141" w:type="dxa"/>
          </w:tcPr>
          <w:p>
            <w:pPr>
              <w:pStyle w:val="TableParagraph"/>
              <w:spacing w:before="19"/>
              <w:ind w:left="100"/>
              <w:rPr>
                <w:sz w:val="24"/>
              </w:rPr>
            </w:pPr>
            <w:r>
              <w:rPr>
                <w:sz w:val="24"/>
              </w:rPr>
              <w:t>Ballymachugh GAA Club</w:t>
            </w:r>
          </w:p>
        </w:tc>
      </w:tr>
      <w:tr>
        <w:trPr>
          <w:trHeight w:val="300" w:hRule="atLeast"/>
        </w:trPr>
        <w:tc>
          <w:tcPr>
            <w:tcW w:w="960" w:type="dxa"/>
          </w:tcPr>
          <w:p>
            <w:pPr>
              <w:pStyle w:val="TableParagraph"/>
              <w:spacing w:before="22"/>
              <w:ind w:right="102"/>
              <w:jc w:val="right"/>
              <w:rPr>
                <w:sz w:val="24"/>
              </w:rPr>
            </w:pPr>
            <w:r>
              <w:rPr>
                <w:sz w:val="24"/>
              </w:rPr>
              <w:t>12</w:t>
            </w:r>
          </w:p>
        </w:tc>
        <w:tc>
          <w:tcPr>
            <w:tcW w:w="6141" w:type="dxa"/>
          </w:tcPr>
          <w:p>
            <w:pPr>
              <w:pStyle w:val="TableParagraph"/>
              <w:spacing w:before="22"/>
              <w:ind w:left="100"/>
              <w:rPr>
                <w:sz w:val="24"/>
              </w:rPr>
            </w:pPr>
            <w:r>
              <w:rPr>
                <w:sz w:val="24"/>
              </w:rPr>
              <w:t>Bawnboy Workhouse Ltd.</w:t>
            </w:r>
          </w:p>
        </w:tc>
      </w:tr>
      <w:tr>
        <w:trPr>
          <w:trHeight w:val="280" w:hRule="atLeast"/>
        </w:trPr>
        <w:tc>
          <w:tcPr>
            <w:tcW w:w="960" w:type="dxa"/>
          </w:tcPr>
          <w:p>
            <w:pPr>
              <w:pStyle w:val="TableParagraph"/>
              <w:spacing w:before="19"/>
              <w:ind w:right="102"/>
              <w:jc w:val="right"/>
              <w:rPr>
                <w:sz w:val="24"/>
              </w:rPr>
            </w:pPr>
            <w:r>
              <w:rPr>
                <w:sz w:val="24"/>
              </w:rPr>
              <w:t>13</w:t>
            </w:r>
          </w:p>
        </w:tc>
        <w:tc>
          <w:tcPr>
            <w:tcW w:w="6141" w:type="dxa"/>
          </w:tcPr>
          <w:p>
            <w:pPr>
              <w:pStyle w:val="TableParagraph"/>
              <w:spacing w:before="19"/>
              <w:ind w:left="100"/>
              <w:rPr>
                <w:sz w:val="24"/>
              </w:rPr>
            </w:pPr>
            <w:r>
              <w:rPr>
                <w:sz w:val="24"/>
              </w:rPr>
              <w:t>Beckscourt Resource House</w:t>
            </w:r>
          </w:p>
        </w:tc>
      </w:tr>
      <w:tr>
        <w:trPr>
          <w:trHeight w:val="280" w:hRule="atLeast"/>
        </w:trPr>
        <w:tc>
          <w:tcPr>
            <w:tcW w:w="960" w:type="dxa"/>
          </w:tcPr>
          <w:p>
            <w:pPr>
              <w:pStyle w:val="TableParagraph"/>
              <w:spacing w:before="19"/>
              <w:ind w:right="102"/>
              <w:jc w:val="right"/>
              <w:rPr>
                <w:sz w:val="24"/>
              </w:rPr>
            </w:pPr>
            <w:r>
              <w:rPr>
                <w:sz w:val="24"/>
              </w:rPr>
              <w:t>14</w:t>
            </w:r>
          </w:p>
        </w:tc>
        <w:tc>
          <w:tcPr>
            <w:tcW w:w="6141" w:type="dxa"/>
          </w:tcPr>
          <w:p>
            <w:pPr>
              <w:pStyle w:val="TableParagraph"/>
              <w:spacing w:before="19"/>
              <w:ind w:left="100"/>
              <w:rPr>
                <w:sz w:val="24"/>
              </w:rPr>
            </w:pPr>
            <w:r>
              <w:rPr>
                <w:sz w:val="24"/>
              </w:rPr>
              <w:t>Bellasis Church Hall</w:t>
            </w:r>
          </w:p>
        </w:tc>
      </w:tr>
      <w:tr>
        <w:trPr>
          <w:trHeight w:val="280" w:hRule="atLeast"/>
        </w:trPr>
        <w:tc>
          <w:tcPr>
            <w:tcW w:w="960" w:type="dxa"/>
          </w:tcPr>
          <w:p>
            <w:pPr>
              <w:pStyle w:val="TableParagraph"/>
              <w:spacing w:before="19"/>
              <w:ind w:right="102"/>
              <w:jc w:val="right"/>
              <w:rPr>
                <w:sz w:val="24"/>
              </w:rPr>
            </w:pPr>
            <w:r>
              <w:rPr>
                <w:sz w:val="24"/>
              </w:rPr>
              <w:t>15</w:t>
            </w:r>
          </w:p>
        </w:tc>
        <w:tc>
          <w:tcPr>
            <w:tcW w:w="6141" w:type="dxa"/>
          </w:tcPr>
          <w:p>
            <w:pPr>
              <w:pStyle w:val="TableParagraph"/>
              <w:spacing w:before="19"/>
              <w:ind w:left="100"/>
              <w:rPr>
                <w:sz w:val="24"/>
              </w:rPr>
            </w:pPr>
            <w:r>
              <w:rPr>
                <w:sz w:val="24"/>
              </w:rPr>
              <w:t>Belturbet GAA Club</w:t>
            </w:r>
          </w:p>
        </w:tc>
      </w:tr>
      <w:tr>
        <w:trPr>
          <w:trHeight w:val="280" w:hRule="atLeast"/>
        </w:trPr>
        <w:tc>
          <w:tcPr>
            <w:tcW w:w="960" w:type="dxa"/>
          </w:tcPr>
          <w:p>
            <w:pPr>
              <w:pStyle w:val="TableParagraph"/>
              <w:spacing w:before="19"/>
              <w:ind w:right="102"/>
              <w:jc w:val="right"/>
              <w:rPr>
                <w:sz w:val="24"/>
              </w:rPr>
            </w:pPr>
            <w:r>
              <w:rPr>
                <w:sz w:val="24"/>
              </w:rPr>
              <w:t>16</w:t>
            </w:r>
          </w:p>
        </w:tc>
        <w:tc>
          <w:tcPr>
            <w:tcW w:w="6141" w:type="dxa"/>
          </w:tcPr>
          <w:p>
            <w:pPr>
              <w:pStyle w:val="TableParagraph"/>
              <w:spacing w:before="19"/>
              <w:ind w:left="100"/>
              <w:rPr>
                <w:sz w:val="24"/>
              </w:rPr>
            </w:pPr>
            <w:r>
              <w:rPr>
                <w:sz w:val="24"/>
              </w:rPr>
              <w:t>Belturbet Library</w:t>
            </w:r>
          </w:p>
        </w:tc>
      </w:tr>
      <w:tr>
        <w:trPr>
          <w:trHeight w:val="280" w:hRule="atLeast"/>
        </w:trPr>
        <w:tc>
          <w:tcPr>
            <w:tcW w:w="960" w:type="dxa"/>
          </w:tcPr>
          <w:p>
            <w:pPr>
              <w:pStyle w:val="TableParagraph"/>
              <w:spacing w:before="19"/>
              <w:ind w:right="102"/>
              <w:jc w:val="right"/>
              <w:rPr>
                <w:sz w:val="24"/>
              </w:rPr>
            </w:pPr>
            <w:r>
              <w:rPr>
                <w:sz w:val="24"/>
              </w:rPr>
              <w:t>17</w:t>
            </w:r>
          </w:p>
        </w:tc>
        <w:tc>
          <w:tcPr>
            <w:tcW w:w="6141" w:type="dxa"/>
          </w:tcPr>
          <w:p>
            <w:pPr>
              <w:pStyle w:val="TableParagraph"/>
              <w:spacing w:before="19"/>
              <w:ind w:left="100"/>
              <w:rPr>
                <w:sz w:val="24"/>
              </w:rPr>
            </w:pPr>
            <w:r>
              <w:rPr>
                <w:sz w:val="24"/>
              </w:rPr>
              <w:t>Belturbet Parish Snooker and Table Tennis Club</w:t>
            </w:r>
          </w:p>
        </w:tc>
      </w:tr>
      <w:tr>
        <w:trPr>
          <w:trHeight w:val="300" w:hRule="atLeast"/>
        </w:trPr>
        <w:tc>
          <w:tcPr>
            <w:tcW w:w="960" w:type="dxa"/>
          </w:tcPr>
          <w:p>
            <w:pPr>
              <w:pStyle w:val="TableParagraph"/>
              <w:spacing w:before="22"/>
              <w:ind w:right="102"/>
              <w:jc w:val="right"/>
              <w:rPr>
                <w:sz w:val="24"/>
              </w:rPr>
            </w:pPr>
            <w:r>
              <w:rPr>
                <w:sz w:val="24"/>
              </w:rPr>
              <w:t>18</w:t>
            </w:r>
          </w:p>
        </w:tc>
        <w:tc>
          <w:tcPr>
            <w:tcW w:w="6141" w:type="dxa"/>
          </w:tcPr>
          <w:p>
            <w:pPr>
              <w:pStyle w:val="TableParagraph"/>
              <w:spacing w:before="22"/>
              <w:ind w:left="100"/>
              <w:rPr>
                <w:sz w:val="24"/>
              </w:rPr>
            </w:pPr>
            <w:r>
              <w:rPr>
                <w:sz w:val="24"/>
              </w:rPr>
              <w:t>Belturbet Railway Staion</w:t>
            </w:r>
          </w:p>
        </w:tc>
      </w:tr>
      <w:tr>
        <w:trPr>
          <w:trHeight w:val="280" w:hRule="atLeast"/>
        </w:trPr>
        <w:tc>
          <w:tcPr>
            <w:tcW w:w="960" w:type="dxa"/>
          </w:tcPr>
          <w:p>
            <w:pPr>
              <w:pStyle w:val="TableParagraph"/>
              <w:spacing w:before="19"/>
              <w:ind w:right="102"/>
              <w:jc w:val="right"/>
              <w:rPr>
                <w:sz w:val="24"/>
              </w:rPr>
            </w:pPr>
            <w:r>
              <w:rPr>
                <w:sz w:val="24"/>
              </w:rPr>
              <w:t>19</w:t>
            </w:r>
          </w:p>
        </w:tc>
        <w:tc>
          <w:tcPr>
            <w:tcW w:w="6141" w:type="dxa"/>
          </w:tcPr>
          <w:p>
            <w:pPr>
              <w:pStyle w:val="TableParagraph"/>
              <w:spacing w:before="19"/>
              <w:ind w:left="100"/>
              <w:rPr>
                <w:sz w:val="24"/>
              </w:rPr>
            </w:pPr>
            <w:r>
              <w:rPr>
                <w:sz w:val="24"/>
              </w:rPr>
              <w:t>Belturbet Rowing Boat Club</w:t>
            </w:r>
          </w:p>
        </w:tc>
      </w:tr>
      <w:tr>
        <w:trPr>
          <w:trHeight w:val="300" w:hRule="atLeast"/>
        </w:trPr>
        <w:tc>
          <w:tcPr>
            <w:tcW w:w="960" w:type="dxa"/>
          </w:tcPr>
          <w:p>
            <w:pPr>
              <w:pStyle w:val="TableParagraph"/>
              <w:spacing w:before="20"/>
              <w:ind w:right="102"/>
              <w:jc w:val="right"/>
              <w:rPr>
                <w:sz w:val="24"/>
              </w:rPr>
            </w:pPr>
            <w:r>
              <w:rPr>
                <w:sz w:val="24"/>
              </w:rPr>
              <w:t>20</w:t>
            </w:r>
          </w:p>
        </w:tc>
        <w:tc>
          <w:tcPr>
            <w:tcW w:w="6141" w:type="dxa"/>
          </w:tcPr>
          <w:p>
            <w:pPr>
              <w:pStyle w:val="TableParagraph"/>
              <w:spacing w:before="20"/>
              <w:ind w:left="100"/>
              <w:rPr>
                <w:sz w:val="24"/>
              </w:rPr>
            </w:pPr>
            <w:r>
              <w:rPr>
                <w:sz w:val="24"/>
              </w:rPr>
              <w:t>Belturbet Town Hall Civic Centre</w:t>
            </w:r>
          </w:p>
        </w:tc>
      </w:tr>
      <w:tr>
        <w:trPr>
          <w:trHeight w:val="280" w:hRule="atLeast"/>
        </w:trPr>
        <w:tc>
          <w:tcPr>
            <w:tcW w:w="960" w:type="dxa"/>
          </w:tcPr>
          <w:p>
            <w:pPr>
              <w:pStyle w:val="TableParagraph"/>
              <w:spacing w:before="19"/>
              <w:ind w:right="102"/>
              <w:jc w:val="right"/>
              <w:rPr>
                <w:sz w:val="24"/>
              </w:rPr>
            </w:pPr>
            <w:r>
              <w:rPr>
                <w:sz w:val="24"/>
              </w:rPr>
              <w:t>21</w:t>
            </w:r>
          </w:p>
        </w:tc>
        <w:tc>
          <w:tcPr>
            <w:tcW w:w="6141" w:type="dxa"/>
          </w:tcPr>
          <w:p>
            <w:pPr>
              <w:pStyle w:val="TableParagraph"/>
              <w:spacing w:before="19"/>
              <w:ind w:left="100"/>
              <w:rPr>
                <w:sz w:val="24"/>
              </w:rPr>
            </w:pPr>
            <w:r>
              <w:rPr>
                <w:sz w:val="24"/>
              </w:rPr>
              <w:t>Billyhill/Knocknalosset Orange Hall</w:t>
            </w:r>
          </w:p>
        </w:tc>
      </w:tr>
      <w:tr>
        <w:trPr>
          <w:trHeight w:val="280" w:hRule="atLeast"/>
        </w:trPr>
        <w:tc>
          <w:tcPr>
            <w:tcW w:w="960" w:type="dxa"/>
          </w:tcPr>
          <w:p>
            <w:pPr>
              <w:pStyle w:val="TableParagraph"/>
              <w:spacing w:before="19"/>
              <w:ind w:right="102"/>
              <w:jc w:val="right"/>
              <w:rPr>
                <w:sz w:val="24"/>
              </w:rPr>
            </w:pPr>
            <w:r>
              <w:rPr>
                <w:sz w:val="24"/>
              </w:rPr>
              <w:t>22</w:t>
            </w:r>
          </w:p>
        </w:tc>
        <w:tc>
          <w:tcPr>
            <w:tcW w:w="6141" w:type="dxa"/>
          </w:tcPr>
          <w:p>
            <w:pPr>
              <w:pStyle w:val="TableParagraph"/>
              <w:spacing w:before="19"/>
              <w:ind w:left="100"/>
              <w:rPr>
                <w:sz w:val="24"/>
              </w:rPr>
            </w:pPr>
            <w:r>
              <w:rPr>
                <w:sz w:val="24"/>
              </w:rPr>
              <w:t>Blacklion Market House</w:t>
            </w:r>
          </w:p>
        </w:tc>
      </w:tr>
      <w:tr>
        <w:trPr>
          <w:trHeight w:val="340" w:hRule="atLeast"/>
        </w:trPr>
        <w:tc>
          <w:tcPr>
            <w:tcW w:w="960" w:type="dxa"/>
          </w:tcPr>
          <w:p>
            <w:pPr>
              <w:pStyle w:val="TableParagraph"/>
              <w:spacing w:before="65"/>
              <w:ind w:right="102"/>
              <w:jc w:val="right"/>
              <w:rPr>
                <w:sz w:val="24"/>
              </w:rPr>
            </w:pPr>
            <w:r>
              <w:rPr>
                <w:sz w:val="24"/>
              </w:rPr>
              <w:t>23</w:t>
            </w:r>
          </w:p>
        </w:tc>
        <w:tc>
          <w:tcPr>
            <w:tcW w:w="6141" w:type="dxa"/>
          </w:tcPr>
          <w:p>
            <w:pPr>
              <w:pStyle w:val="TableParagraph"/>
              <w:spacing w:before="65"/>
              <w:ind w:left="100"/>
              <w:rPr>
                <w:sz w:val="24"/>
              </w:rPr>
            </w:pPr>
            <w:r>
              <w:rPr>
                <w:sz w:val="24"/>
              </w:rPr>
              <w:t>Brackey Hall</w:t>
            </w:r>
          </w:p>
        </w:tc>
      </w:tr>
      <w:tr>
        <w:trPr>
          <w:trHeight w:val="340" w:hRule="atLeast"/>
        </w:trPr>
        <w:tc>
          <w:tcPr>
            <w:tcW w:w="960" w:type="dxa"/>
          </w:tcPr>
          <w:p>
            <w:pPr>
              <w:pStyle w:val="TableParagraph"/>
              <w:spacing w:before="65"/>
              <w:ind w:right="102"/>
              <w:jc w:val="right"/>
              <w:rPr>
                <w:sz w:val="24"/>
              </w:rPr>
            </w:pPr>
            <w:r>
              <w:rPr>
                <w:sz w:val="24"/>
              </w:rPr>
              <w:t>24</w:t>
            </w:r>
          </w:p>
        </w:tc>
        <w:tc>
          <w:tcPr>
            <w:tcW w:w="6141" w:type="dxa"/>
          </w:tcPr>
          <w:p>
            <w:pPr>
              <w:pStyle w:val="TableParagraph"/>
              <w:spacing w:before="65"/>
              <w:ind w:left="100"/>
              <w:rPr>
                <w:sz w:val="24"/>
              </w:rPr>
            </w:pPr>
            <w:r>
              <w:rPr>
                <w:sz w:val="24"/>
              </w:rPr>
              <w:t>Bridge Street Centre Cavan</w:t>
            </w:r>
          </w:p>
        </w:tc>
      </w:tr>
      <w:tr>
        <w:trPr>
          <w:trHeight w:val="340" w:hRule="atLeast"/>
        </w:trPr>
        <w:tc>
          <w:tcPr>
            <w:tcW w:w="960" w:type="dxa"/>
          </w:tcPr>
          <w:p>
            <w:pPr>
              <w:pStyle w:val="TableParagraph"/>
              <w:spacing w:before="65"/>
              <w:ind w:right="102"/>
              <w:jc w:val="right"/>
              <w:rPr>
                <w:sz w:val="24"/>
              </w:rPr>
            </w:pPr>
            <w:r>
              <w:rPr>
                <w:sz w:val="24"/>
              </w:rPr>
              <w:t>25</w:t>
            </w:r>
          </w:p>
        </w:tc>
        <w:tc>
          <w:tcPr>
            <w:tcW w:w="6141" w:type="dxa"/>
          </w:tcPr>
          <w:p>
            <w:pPr>
              <w:pStyle w:val="TableParagraph"/>
              <w:spacing w:before="65"/>
              <w:ind w:left="100"/>
              <w:rPr>
                <w:sz w:val="24"/>
              </w:rPr>
            </w:pPr>
            <w:r>
              <w:rPr>
                <w:sz w:val="24"/>
              </w:rPr>
              <w:t>Bunnoe Community Centre</w:t>
            </w:r>
          </w:p>
        </w:tc>
      </w:tr>
      <w:tr>
        <w:trPr>
          <w:trHeight w:val="340" w:hRule="atLeast"/>
        </w:trPr>
        <w:tc>
          <w:tcPr>
            <w:tcW w:w="960" w:type="dxa"/>
          </w:tcPr>
          <w:p>
            <w:pPr>
              <w:pStyle w:val="TableParagraph"/>
              <w:spacing w:before="65"/>
              <w:ind w:right="102"/>
              <w:jc w:val="right"/>
              <w:rPr>
                <w:sz w:val="24"/>
              </w:rPr>
            </w:pPr>
            <w:r>
              <w:rPr>
                <w:sz w:val="24"/>
              </w:rPr>
              <w:t>26</w:t>
            </w:r>
          </w:p>
        </w:tc>
        <w:tc>
          <w:tcPr>
            <w:tcW w:w="6141" w:type="dxa"/>
          </w:tcPr>
          <w:p>
            <w:pPr>
              <w:pStyle w:val="TableParagraph"/>
              <w:spacing w:before="65"/>
              <w:ind w:left="100"/>
              <w:rPr>
                <w:sz w:val="24"/>
              </w:rPr>
            </w:pPr>
            <w:r>
              <w:rPr>
                <w:sz w:val="24"/>
              </w:rPr>
              <w:t>Burrowes Hall</w:t>
            </w:r>
          </w:p>
        </w:tc>
      </w:tr>
      <w:tr>
        <w:trPr>
          <w:trHeight w:val="280" w:hRule="atLeast"/>
        </w:trPr>
        <w:tc>
          <w:tcPr>
            <w:tcW w:w="960" w:type="dxa"/>
          </w:tcPr>
          <w:p>
            <w:pPr>
              <w:pStyle w:val="TableParagraph"/>
              <w:spacing w:before="19"/>
              <w:ind w:right="102"/>
              <w:jc w:val="right"/>
              <w:rPr>
                <w:sz w:val="24"/>
              </w:rPr>
            </w:pPr>
            <w:r>
              <w:rPr>
                <w:sz w:val="24"/>
              </w:rPr>
              <w:t>27</w:t>
            </w:r>
          </w:p>
        </w:tc>
        <w:tc>
          <w:tcPr>
            <w:tcW w:w="6141" w:type="dxa"/>
          </w:tcPr>
          <w:p>
            <w:pPr>
              <w:pStyle w:val="TableParagraph"/>
              <w:spacing w:before="19"/>
              <w:ind w:left="100"/>
              <w:rPr>
                <w:sz w:val="24"/>
              </w:rPr>
            </w:pPr>
            <w:r>
              <w:rPr>
                <w:sz w:val="24"/>
              </w:rPr>
              <w:t>Butlersbridge GAA Club</w:t>
            </w:r>
          </w:p>
        </w:tc>
      </w:tr>
      <w:tr>
        <w:trPr>
          <w:trHeight w:val="280" w:hRule="atLeast"/>
        </w:trPr>
        <w:tc>
          <w:tcPr>
            <w:tcW w:w="960" w:type="dxa"/>
          </w:tcPr>
          <w:p>
            <w:pPr>
              <w:pStyle w:val="TableParagraph"/>
              <w:spacing w:before="19"/>
              <w:ind w:right="102"/>
              <w:jc w:val="right"/>
              <w:rPr>
                <w:sz w:val="24"/>
              </w:rPr>
            </w:pPr>
            <w:r>
              <w:rPr>
                <w:sz w:val="24"/>
              </w:rPr>
              <w:t>28</w:t>
            </w:r>
          </w:p>
        </w:tc>
        <w:tc>
          <w:tcPr>
            <w:tcW w:w="6141" w:type="dxa"/>
          </w:tcPr>
          <w:p>
            <w:pPr>
              <w:pStyle w:val="TableParagraph"/>
              <w:spacing w:before="19"/>
              <w:ind w:left="100"/>
              <w:rPr>
                <w:sz w:val="24"/>
              </w:rPr>
            </w:pPr>
            <w:r>
              <w:rPr>
                <w:sz w:val="24"/>
              </w:rPr>
              <w:t>CAMCAS Ballyconnell</w:t>
            </w:r>
          </w:p>
        </w:tc>
      </w:tr>
      <w:tr>
        <w:trPr>
          <w:trHeight w:val="280" w:hRule="atLeast"/>
        </w:trPr>
        <w:tc>
          <w:tcPr>
            <w:tcW w:w="960" w:type="dxa"/>
          </w:tcPr>
          <w:p>
            <w:pPr>
              <w:pStyle w:val="TableParagraph"/>
              <w:spacing w:before="19"/>
              <w:ind w:right="102"/>
              <w:jc w:val="right"/>
              <w:rPr>
                <w:sz w:val="24"/>
              </w:rPr>
            </w:pPr>
            <w:r>
              <w:rPr>
                <w:sz w:val="24"/>
              </w:rPr>
              <w:t>29</w:t>
            </w:r>
          </w:p>
        </w:tc>
        <w:tc>
          <w:tcPr>
            <w:tcW w:w="6141" w:type="dxa"/>
          </w:tcPr>
          <w:p>
            <w:pPr>
              <w:pStyle w:val="TableParagraph"/>
              <w:spacing w:before="19"/>
              <w:ind w:left="100"/>
              <w:rPr>
                <w:sz w:val="24"/>
              </w:rPr>
            </w:pPr>
            <w:r>
              <w:rPr>
                <w:sz w:val="24"/>
              </w:rPr>
              <w:t>Castlemanor Community Centre</w:t>
            </w:r>
          </w:p>
        </w:tc>
      </w:tr>
      <w:tr>
        <w:trPr>
          <w:trHeight w:val="300" w:hRule="atLeast"/>
        </w:trPr>
        <w:tc>
          <w:tcPr>
            <w:tcW w:w="960" w:type="dxa"/>
          </w:tcPr>
          <w:p>
            <w:pPr>
              <w:pStyle w:val="TableParagraph"/>
              <w:spacing w:before="22"/>
              <w:ind w:right="102"/>
              <w:jc w:val="right"/>
              <w:rPr>
                <w:sz w:val="24"/>
              </w:rPr>
            </w:pPr>
            <w:r>
              <w:rPr>
                <w:sz w:val="24"/>
              </w:rPr>
              <w:t>30</w:t>
            </w:r>
          </w:p>
        </w:tc>
        <w:tc>
          <w:tcPr>
            <w:tcW w:w="6141" w:type="dxa"/>
          </w:tcPr>
          <w:p>
            <w:pPr>
              <w:pStyle w:val="TableParagraph"/>
              <w:spacing w:before="22"/>
              <w:ind w:left="100"/>
              <w:rPr>
                <w:sz w:val="24"/>
              </w:rPr>
            </w:pPr>
            <w:r>
              <w:rPr>
                <w:sz w:val="24"/>
              </w:rPr>
              <w:t>Castlerahan Community Centre</w:t>
            </w:r>
          </w:p>
        </w:tc>
      </w:tr>
      <w:tr>
        <w:trPr>
          <w:trHeight w:val="280" w:hRule="atLeast"/>
        </w:trPr>
        <w:tc>
          <w:tcPr>
            <w:tcW w:w="960" w:type="dxa"/>
          </w:tcPr>
          <w:p>
            <w:pPr>
              <w:pStyle w:val="TableParagraph"/>
              <w:spacing w:before="19"/>
              <w:ind w:right="102"/>
              <w:jc w:val="right"/>
              <w:rPr>
                <w:sz w:val="24"/>
              </w:rPr>
            </w:pPr>
            <w:r>
              <w:rPr>
                <w:sz w:val="24"/>
              </w:rPr>
              <w:t>31</w:t>
            </w:r>
          </w:p>
        </w:tc>
        <w:tc>
          <w:tcPr>
            <w:tcW w:w="6141" w:type="dxa"/>
          </w:tcPr>
          <w:p>
            <w:pPr>
              <w:pStyle w:val="TableParagraph"/>
              <w:spacing w:before="19"/>
              <w:ind w:left="100"/>
              <w:rPr>
                <w:sz w:val="24"/>
              </w:rPr>
            </w:pPr>
            <w:r>
              <w:rPr>
                <w:sz w:val="24"/>
              </w:rPr>
              <w:t>Castlerahan GAA Club</w:t>
            </w:r>
          </w:p>
        </w:tc>
      </w:tr>
      <w:tr>
        <w:trPr>
          <w:trHeight w:val="280" w:hRule="atLeast"/>
        </w:trPr>
        <w:tc>
          <w:tcPr>
            <w:tcW w:w="960" w:type="dxa"/>
          </w:tcPr>
          <w:p>
            <w:pPr>
              <w:pStyle w:val="TableParagraph"/>
              <w:spacing w:before="19"/>
              <w:ind w:right="102"/>
              <w:jc w:val="right"/>
              <w:rPr>
                <w:sz w:val="24"/>
              </w:rPr>
            </w:pPr>
            <w:r>
              <w:rPr>
                <w:sz w:val="24"/>
              </w:rPr>
              <w:t>32</w:t>
            </w:r>
          </w:p>
        </w:tc>
        <w:tc>
          <w:tcPr>
            <w:tcW w:w="6141" w:type="dxa"/>
          </w:tcPr>
          <w:p>
            <w:pPr>
              <w:pStyle w:val="TableParagraph"/>
              <w:spacing w:before="19"/>
              <w:ind w:left="100"/>
              <w:rPr>
                <w:sz w:val="24"/>
              </w:rPr>
            </w:pPr>
            <w:r>
              <w:rPr>
                <w:sz w:val="24"/>
              </w:rPr>
              <w:t>Castlesaunderson International Scout Centre</w:t>
            </w:r>
          </w:p>
        </w:tc>
      </w:tr>
      <w:tr>
        <w:trPr>
          <w:trHeight w:val="280" w:hRule="atLeast"/>
        </w:trPr>
        <w:tc>
          <w:tcPr>
            <w:tcW w:w="960" w:type="dxa"/>
          </w:tcPr>
          <w:p>
            <w:pPr>
              <w:pStyle w:val="TableParagraph"/>
              <w:spacing w:before="19"/>
              <w:ind w:right="102"/>
              <w:jc w:val="right"/>
              <w:rPr>
                <w:sz w:val="24"/>
              </w:rPr>
            </w:pPr>
            <w:r>
              <w:rPr>
                <w:sz w:val="24"/>
              </w:rPr>
              <w:t>33</w:t>
            </w:r>
          </w:p>
        </w:tc>
        <w:tc>
          <w:tcPr>
            <w:tcW w:w="6141" w:type="dxa"/>
          </w:tcPr>
          <w:p>
            <w:pPr>
              <w:pStyle w:val="TableParagraph"/>
              <w:spacing w:before="19"/>
              <w:ind w:left="100"/>
              <w:rPr>
                <w:sz w:val="24"/>
              </w:rPr>
            </w:pPr>
            <w:r>
              <w:rPr>
                <w:sz w:val="24"/>
              </w:rPr>
              <w:t>Cavan Box Park (Ballyjamesduff AFC)</w:t>
            </w:r>
          </w:p>
        </w:tc>
      </w:tr>
      <w:tr>
        <w:trPr>
          <w:trHeight w:val="280" w:hRule="atLeast"/>
        </w:trPr>
        <w:tc>
          <w:tcPr>
            <w:tcW w:w="960" w:type="dxa"/>
          </w:tcPr>
          <w:p>
            <w:pPr>
              <w:pStyle w:val="TableParagraph"/>
              <w:spacing w:before="19"/>
              <w:ind w:right="102"/>
              <w:jc w:val="right"/>
              <w:rPr>
                <w:sz w:val="24"/>
              </w:rPr>
            </w:pPr>
            <w:r>
              <w:rPr>
                <w:sz w:val="24"/>
              </w:rPr>
              <w:t>34</w:t>
            </w:r>
          </w:p>
        </w:tc>
        <w:tc>
          <w:tcPr>
            <w:tcW w:w="6141" w:type="dxa"/>
          </w:tcPr>
          <w:p>
            <w:pPr>
              <w:pStyle w:val="TableParagraph"/>
              <w:spacing w:before="19"/>
              <w:ind w:left="100"/>
              <w:rPr>
                <w:sz w:val="24"/>
              </w:rPr>
            </w:pPr>
            <w:r>
              <w:rPr>
                <w:sz w:val="24"/>
              </w:rPr>
              <w:t>Cavan County Museum</w:t>
            </w:r>
          </w:p>
        </w:tc>
      </w:tr>
      <w:tr>
        <w:trPr>
          <w:trHeight w:val="280" w:hRule="atLeast"/>
        </w:trPr>
        <w:tc>
          <w:tcPr>
            <w:tcW w:w="960" w:type="dxa"/>
          </w:tcPr>
          <w:p>
            <w:pPr>
              <w:pStyle w:val="TableParagraph"/>
              <w:spacing w:before="19"/>
              <w:ind w:right="102"/>
              <w:jc w:val="right"/>
              <w:rPr>
                <w:sz w:val="24"/>
              </w:rPr>
            </w:pPr>
            <w:r>
              <w:rPr>
                <w:sz w:val="24"/>
              </w:rPr>
              <w:t>35</w:t>
            </w:r>
          </w:p>
        </w:tc>
        <w:tc>
          <w:tcPr>
            <w:tcW w:w="6141" w:type="dxa"/>
          </w:tcPr>
          <w:p>
            <w:pPr>
              <w:pStyle w:val="TableParagraph"/>
              <w:spacing w:before="19"/>
              <w:ind w:left="100"/>
              <w:rPr>
                <w:sz w:val="24"/>
              </w:rPr>
            </w:pPr>
            <w:r>
              <w:rPr>
                <w:sz w:val="24"/>
              </w:rPr>
              <w:t>Cavan Gaels GAA</w:t>
            </w:r>
          </w:p>
        </w:tc>
      </w:tr>
      <w:tr>
        <w:trPr>
          <w:trHeight w:val="300" w:hRule="atLeast"/>
        </w:trPr>
        <w:tc>
          <w:tcPr>
            <w:tcW w:w="960" w:type="dxa"/>
          </w:tcPr>
          <w:p>
            <w:pPr>
              <w:pStyle w:val="TableParagraph"/>
              <w:spacing w:before="22"/>
              <w:ind w:right="102"/>
              <w:jc w:val="right"/>
              <w:rPr>
                <w:sz w:val="24"/>
              </w:rPr>
            </w:pPr>
            <w:r>
              <w:rPr>
                <w:sz w:val="24"/>
              </w:rPr>
              <w:t>36</w:t>
            </w:r>
          </w:p>
        </w:tc>
        <w:tc>
          <w:tcPr>
            <w:tcW w:w="6141" w:type="dxa"/>
          </w:tcPr>
          <w:p>
            <w:pPr>
              <w:pStyle w:val="TableParagraph"/>
              <w:spacing w:before="22"/>
              <w:ind w:left="100"/>
              <w:rPr>
                <w:sz w:val="24"/>
              </w:rPr>
            </w:pPr>
            <w:r>
              <w:rPr>
                <w:sz w:val="24"/>
              </w:rPr>
              <w:t>Cavan Presbyterian Church Hall</w:t>
            </w:r>
          </w:p>
        </w:tc>
      </w:tr>
      <w:tr>
        <w:trPr>
          <w:trHeight w:val="280" w:hRule="atLeast"/>
        </w:trPr>
        <w:tc>
          <w:tcPr>
            <w:tcW w:w="960" w:type="dxa"/>
          </w:tcPr>
          <w:p>
            <w:pPr>
              <w:pStyle w:val="TableParagraph"/>
              <w:spacing w:before="19"/>
              <w:ind w:right="102"/>
              <w:jc w:val="right"/>
              <w:rPr>
                <w:sz w:val="24"/>
              </w:rPr>
            </w:pPr>
            <w:r>
              <w:rPr>
                <w:sz w:val="24"/>
              </w:rPr>
              <w:t>37</w:t>
            </w:r>
          </w:p>
        </w:tc>
        <w:tc>
          <w:tcPr>
            <w:tcW w:w="6141" w:type="dxa"/>
          </w:tcPr>
          <w:p>
            <w:pPr>
              <w:pStyle w:val="TableParagraph"/>
              <w:spacing w:before="19"/>
              <w:ind w:left="100"/>
              <w:rPr>
                <w:sz w:val="24"/>
              </w:rPr>
            </w:pPr>
            <w:r>
              <w:rPr>
                <w:sz w:val="24"/>
              </w:rPr>
              <w:t>Cavan Public Participation Network  Cana House</w:t>
            </w:r>
          </w:p>
        </w:tc>
      </w:tr>
      <w:tr>
        <w:trPr>
          <w:trHeight w:val="280" w:hRule="atLeast"/>
        </w:trPr>
        <w:tc>
          <w:tcPr>
            <w:tcW w:w="960" w:type="dxa"/>
          </w:tcPr>
          <w:p>
            <w:pPr>
              <w:pStyle w:val="TableParagraph"/>
              <w:spacing w:before="19"/>
              <w:ind w:right="102"/>
              <w:jc w:val="right"/>
              <w:rPr>
                <w:sz w:val="24"/>
              </w:rPr>
            </w:pPr>
            <w:r>
              <w:rPr>
                <w:sz w:val="24"/>
              </w:rPr>
              <w:t>38</w:t>
            </w:r>
          </w:p>
        </w:tc>
        <w:tc>
          <w:tcPr>
            <w:tcW w:w="6141" w:type="dxa"/>
          </w:tcPr>
          <w:p>
            <w:pPr>
              <w:pStyle w:val="TableParagraph"/>
              <w:spacing w:before="19"/>
              <w:ind w:left="100"/>
              <w:rPr>
                <w:sz w:val="24"/>
              </w:rPr>
            </w:pPr>
            <w:r>
              <w:rPr>
                <w:sz w:val="24"/>
              </w:rPr>
              <w:t>Cavan Regional Health Sport and Leisure CLG</w:t>
            </w:r>
          </w:p>
        </w:tc>
      </w:tr>
      <w:tr>
        <w:trPr>
          <w:trHeight w:val="280" w:hRule="atLeast"/>
        </w:trPr>
        <w:tc>
          <w:tcPr>
            <w:tcW w:w="960" w:type="dxa"/>
          </w:tcPr>
          <w:p>
            <w:pPr>
              <w:pStyle w:val="TableParagraph"/>
              <w:spacing w:before="19"/>
              <w:ind w:right="102"/>
              <w:jc w:val="right"/>
              <w:rPr>
                <w:sz w:val="24"/>
              </w:rPr>
            </w:pPr>
            <w:r>
              <w:rPr>
                <w:sz w:val="24"/>
              </w:rPr>
              <w:t>39</w:t>
            </w:r>
          </w:p>
        </w:tc>
        <w:tc>
          <w:tcPr>
            <w:tcW w:w="6141" w:type="dxa"/>
          </w:tcPr>
          <w:p>
            <w:pPr>
              <w:pStyle w:val="TableParagraph"/>
              <w:spacing w:before="19"/>
              <w:ind w:left="100"/>
              <w:rPr>
                <w:sz w:val="24"/>
              </w:rPr>
            </w:pPr>
            <w:r>
              <w:rPr>
                <w:sz w:val="24"/>
              </w:rPr>
              <w:t>Cavan Tennis Club</w:t>
            </w:r>
          </w:p>
        </w:tc>
      </w:tr>
      <w:tr>
        <w:trPr>
          <w:trHeight w:val="280" w:hRule="atLeast"/>
        </w:trPr>
        <w:tc>
          <w:tcPr>
            <w:tcW w:w="960" w:type="dxa"/>
          </w:tcPr>
          <w:p>
            <w:pPr>
              <w:pStyle w:val="TableParagraph"/>
              <w:spacing w:before="20"/>
              <w:ind w:right="102"/>
              <w:jc w:val="right"/>
              <w:rPr>
                <w:sz w:val="24"/>
              </w:rPr>
            </w:pPr>
            <w:r>
              <w:rPr>
                <w:sz w:val="24"/>
              </w:rPr>
              <w:t>40</w:t>
            </w:r>
          </w:p>
        </w:tc>
        <w:tc>
          <w:tcPr>
            <w:tcW w:w="6141" w:type="dxa"/>
          </w:tcPr>
          <w:p>
            <w:pPr>
              <w:pStyle w:val="TableParagraph"/>
              <w:spacing w:before="20"/>
              <w:ind w:left="100"/>
              <w:rPr>
                <w:sz w:val="24"/>
              </w:rPr>
            </w:pPr>
            <w:r>
              <w:rPr>
                <w:sz w:val="24"/>
              </w:rPr>
              <w:t>Church Street Centre</w:t>
            </w:r>
          </w:p>
        </w:tc>
      </w:tr>
      <w:tr>
        <w:trPr>
          <w:trHeight w:val="280" w:hRule="atLeast"/>
        </w:trPr>
        <w:tc>
          <w:tcPr>
            <w:tcW w:w="960" w:type="dxa"/>
          </w:tcPr>
          <w:p>
            <w:pPr>
              <w:pStyle w:val="TableParagraph"/>
              <w:spacing w:before="19"/>
              <w:ind w:right="102"/>
              <w:jc w:val="right"/>
              <w:rPr>
                <w:sz w:val="24"/>
              </w:rPr>
            </w:pPr>
            <w:r>
              <w:rPr>
                <w:sz w:val="24"/>
              </w:rPr>
              <w:t>41</w:t>
            </w:r>
          </w:p>
        </w:tc>
        <w:tc>
          <w:tcPr>
            <w:tcW w:w="6141" w:type="dxa"/>
          </w:tcPr>
          <w:p>
            <w:pPr>
              <w:pStyle w:val="TableParagraph"/>
              <w:spacing w:before="19"/>
              <w:ind w:left="100"/>
              <w:rPr>
                <w:sz w:val="24"/>
              </w:rPr>
            </w:pPr>
            <w:r>
              <w:rPr>
                <w:sz w:val="24"/>
              </w:rPr>
              <w:t>Cootehill Community Childcare</w:t>
            </w:r>
          </w:p>
        </w:tc>
      </w:tr>
      <w:tr>
        <w:trPr>
          <w:trHeight w:val="300" w:hRule="atLeast"/>
        </w:trPr>
        <w:tc>
          <w:tcPr>
            <w:tcW w:w="960" w:type="dxa"/>
          </w:tcPr>
          <w:p>
            <w:pPr>
              <w:pStyle w:val="TableParagraph"/>
              <w:spacing w:before="22"/>
              <w:ind w:right="102"/>
              <w:jc w:val="right"/>
              <w:rPr>
                <w:sz w:val="24"/>
              </w:rPr>
            </w:pPr>
            <w:r>
              <w:rPr>
                <w:sz w:val="24"/>
              </w:rPr>
              <w:t>42</w:t>
            </w:r>
          </w:p>
        </w:tc>
        <w:tc>
          <w:tcPr>
            <w:tcW w:w="6141" w:type="dxa"/>
          </w:tcPr>
          <w:p>
            <w:pPr>
              <w:pStyle w:val="TableParagraph"/>
              <w:spacing w:before="22"/>
              <w:ind w:left="100"/>
              <w:rPr>
                <w:sz w:val="24"/>
              </w:rPr>
            </w:pPr>
            <w:r>
              <w:rPr>
                <w:sz w:val="24"/>
              </w:rPr>
              <w:t>Cootehill Library</w:t>
            </w:r>
          </w:p>
        </w:tc>
      </w:tr>
      <w:tr>
        <w:trPr>
          <w:trHeight w:val="280" w:hRule="atLeast"/>
        </w:trPr>
        <w:tc>
          <w:tcPr>
            <w:tcW w:w="960" w:type="dxa"/>
          </w:tcPr>
          <w:p>
            <w:pPr>
              <w:pStyle w:val="TableParagraph"/>
              <w:spacing w:before="19"/>
              <w:ind w:right="102"/>
              <w:jc w:val="right"/>
              <w:rPr>
                <w:sz w:val="24"/>
              </w:rPr>
            </w:pPr>
            <w:r>
              <w:rPr>
                <w:sz w:val="24"/>
              </w:rPr>
              <w:t>43</w:t>
            </w:r>
          </w:p>
        </w:tc>
        <w:tc>
          <w:tcPr>
            <w:tcW w:w="6141" w:type="dxa"/>
          </w:tcPr>
          <w:p>
            <w:pPr>
              <w:pStyle w:val="TableParagraph"/>
              <w:spacing w:before="19"/>
              <w:ind w:left="100"/>
              <w:rPr>
                <w:sz w:val="24"/>
              </w:rPr>
            </w:pPr>
            <w:r>
              <w:rPr>
                <w:sz w:val="24"/>
              </w:rPr>
              <w:t>Corlisbrattan Methodist Old School Hall</w:t>
            </w:r>
          </w:p>
        </w:tc>
      </w:tr>
      <w:tr>
        <w:trPr>
          <w:trHeight w:val="280" w:hRule="atLeast"/>
        </w:trPr>
        <w:tc>
          <w:tcPr>
            <w:tcW w:w="960" w:type="dxa"/>
          </w:tcPr>
          <w:p>
            <w:pPr>
              <w:pStyle w:val="TableParagraph"/>
              <w:spacing w:before="19"/>
              <w:ind w:right="102"/>
              <w:jc w:val="right"/>
              <w:rPr>
                <w:sz w:val="24"/>
              </w:rPr>
            </w:pPr>
            <w:r>
              <w:rPr>
                <w:sz w:val="24"/>
              </w:rPr>
              <w:t>44</w:t>
            </w:r>
          </w:p>
        </w:tc>
        <w:tc>
          <w:tcPr>
            <w:tcW w:w="6141" w:type="dxa"/>
          </w:tcPr>
          <w:p>
            <w:pPr>
              <w:pStyle w:val="TableParagraph"/>
              <w:spacing w:before="19"/>
              <w:ind w:left="100"/>
              <w:rPr>
                <w:sz w:val="24"/>
              </w:rPr>
            </w:pPr>
            <w:r>
              <w:rPr>
                <w:sz w:val="24"/>
              </w:rPr>
              <w:t>Corlough Community Centre</w:t>
            </w:r>
          </w:p>
        </w:tc>
      </w:tr>
      <w:tr>
        <w:trPr>
          <w:trHeight w:val="280" w:hRule="atLeast"/>
        </w:trPr>
        <w:tc>
          <w:tcPr>
            <w:tcW w:w="960" w:type="dxa"/>
          </w:tcPr>
          <w:p>
            <w:pPr>
              <w:pStyle w:val="TableParagraph"/>
              <w:spacing w:before="19"/>
              <w:ind w:right="102"/>
              <w:jc w:val="right"/>
              <w:rPr>
                <w:sz w:val="24"/>
              </w:rPr>
            </w:pPr>
            <w:r>
              <w:rPr>
                <w:sz w:val="24"/>
              </w:rPr>
              <w:t>45</w:t>
            </w:r>
          </w:p>
        </w:tc>
        <w:tc>
          <w:tcPr>
            <w:tcW w:w="6141" w:type="dxa"/>
          </w:tcPr>
          <w:p>
            <w:pPr>
              <w:pStyle w:val="TableParagraph"/>
              <w:spacing w:before="19"/>
              <w:ind w:left="100"/>
              <w:rPr>
                <w:sz w:val="24"/>
              </w:rPr>
            </w:pPr>
            <w:r>
              <w:rPr>
                <w:sz w:val="24"/>
              </w:rPr>
              <w:t>Corlough GAA Club</w:t>
            </w:r>
          </w:p>
        </w:tc>
      </w:tr>
    </w:tbl>
    <w:p>
      <w:pPr>
        <w:spacing w:after="0"/>
        <w:rPr>
          <w:sz w:val="24"/>
        </w:rPr>
        <w:sectPr>
          <w:headerReference w:type="default" r:id="rId38"/>
          <w:footerReference w:type="default" r:id="rId39"/>
          <w:pgSz w:w="11910" w:h="17340"/>
          <w:pgMar w:header="759" w:footer="0" w:top="940" w:bottom="280" w:left="1440" w:right="1680"/>
        </w:sectPr>
      </w:pPr>
    </w:p>
    <w:p>
      <w:pPr>
        <w:pStyle w:val="BodyText"/>
        <w:spacing w:before="4" w:after="1"/>
        <w:rPr>
          <w:rFonts w:ascii="Times New Roman"/>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6141"/>
      </w:tblGrid>
      <w:tr>
        <w:trPr>
          <w:trHeight w:val="280" w:hRule="atLeast"/>
        </w:trPr>
        <w:tc>
          <w:tcPr>
            <w:tcW w:w="960" w:type="dxa"/>
            <w:tcBorders>
              <w:top w:val="nil"/>
            </w:tcBorders>
          </w:tcPr>
          <w:p>
            <w:pPr>
              <w:pStyle w:val="TableParagraph"/>
              <w:spacing w:before="19"/>
              <w:ind w:right="102"/>
              <w:jc w:val="right"/>
              <w:rPr>
                <w:sz w:val="24"/>
              </w:rPr>
            </w:pPr>
            <w:r>
              <w:rPr>
                <w:sz w:val="24"/>
              </w:rPr>
              <w:t>46</w:t>
            </w:r>
          </w:p>
        </w:tc>
        <w:tc>
          <w:tcPr>
            <w:tcW w:w="6141" w:type="dxa"/>
            <w:tcBorders>
              <w:top w:val="nil"/>
            </w:tcBorders>
          </w:tcPr>
          <w:p>
            <w:pPr>
              <w:pStyle w:val="TableParagraph"/>
              <w:spacing w:before="19"/>
              <w:ind w:left="100"/>
              <w:rPr>
                <w:sz w:val="24"/>
              </w:rPr>
            </w:pPr>
            <w:r>
              <w:rPr>
                <w:sz w:val="24"/>
              </w:rPr>
              <w:t>Corwillis Mission Hall</w:t>
            </w:r>
          </w:p>
        </w:tc>
      </w:tr>
      <w:tr>
        <w:trPr>
          <w:trHeight w:val="300" w:hRule="atLeast"/>
        </w:trPr>
        <w:tc>
          <w:tcPr>
            <w:tcW w:w="960" w:type="dxa"/>
          </w:tcPr>
          <w:p>
            <w:pPr>
              <w:pStyle w:val="TableParagraph"/>
              <w:spacing w:before="20"/>
              <w:ind w:right="102"/>
              <w:jc w:val="right"/>
              <w:rPr>
                <w:sz w:val="24"/>
              </w:rPr>
            </w:pPr>
            <w:r>
              <w:rPr>
                <w:sz w:val="24"/>
              </w:rPr>
              <w:t>47</w:t>
            </w:r>
          </w:p>
        </w:tc>
        <w:tc>
          <w:tcPr>
            <w:tcW w:w="6141" w:type="dxa"/>
          </w:tcPr>
          <w:p>
            <w:pPr>
              <w:pStyle w:val="TableParagraph"/>
              <w:spacing w:before="20"/>
              <w:ind w:left="100"/>
              <w:rPr>
                <w:sz w:val="24"/>
              </w:rPr>
            </w:pPr>
            <w:r>
              <w:rPr>
                <w:sz w:val="24"/>
              </w:rPr>
              <w:t>County Cavan Golf Club</w:t>
            </w:r>
          </w:p>
        </w:tc>
      </w:tr>
      <w:tr>
        <w:trPr>
          <w:trHeight w:val="280" w:hRule="atLeast"/>
        </w:trPr>
        <w:tc>
          <w:tcPr>
            <w:tcW w:w="960" w:type="dxa"/>
          </w:tcPr>
          <w:p>
            <w:pPr>
              <w:pStyle w:val="TableParagraph"/>
              <w:spacing w:before="19"/>
              <w:ind w:right="102"/>
              <w:jc w:val="right"/>
              <w:rPr>
                <w:sz w:val="24"/>
              </w:rPr>
            </w:pPr>
            <w:r>
              <w:rPr>
                <w:sz w:val="24"/>
              </w:rPr>
              <w:t>48</w:t>
            </w:r>
          </w:p>
        </w:tc>
        <w:tc>
          <w:tcPr>
            <w:tcW w:w="6141" w:type="dxa"/>
          </w:tcPr>
          <w:p>
            <w:pPr>
              <w:pStyle w:val="TableParagraph"/>
              <w:spacing w:before="19"/>
              <w:ind w:left="100"/>
              <w:rPr>
                <w:sz w:val="24"/>
              </w:rPr>
            </w:pPr>
            <w:r>
              <w:rPr>
                <w:sz w:val="24"/>
              </w:rPr>
              <w:t>County Cavan Rugby Club</w:t>
            </w:r>
          </w:p>
        </w:tc>
      </w:tr>
      <w:tr>
        <w:trPr>
          <w:trHeight w:val="280" w:hRule="atLeast"/>
        </w:trPr>
        <w:tc>
          <w:tcPr>
            <w:tcW w:w="960" w:type="dxa"/>
          </w:tcPr>
          <w:p>
            <w:pPr>
              <w:pStyle w:val="TableParagraph"/>
              <w:spacing w:before="19"/>
              <w:ind w:right="102"/>
              <w:jc w:val="right"/>
              <w:rPr>
                <w:sz w:val="24"/>
              </w:rPr>
            </w:pPr>
            <w:r>
              <w:rPr>
                <w:sz w:val="24"/>
              </w:rPr>
              <w:t>49</w:t>
            </w:r>
          </w:p>
        </w:tc>
        <w:tc>
          <w:tcPr>
            <w:tcW w:w="6141" w:type="dxa"/>
          </w:tcPr>
          <w:p>
            <w:pPr>
              <w:pStyle w:val="TableParagraph"/>
              <w:spacing w:before="19"/>
              <w:ind w:left="100"/>
              <w:rPr>
                <w:sz w:val="24"/>
              </w:rPr>
            </w:pPr>
            <w:r>
              <w:rPr>
                <w:sz w:val="24"/>
              </w:rPr>
              <w:t>Crosserlough Community Centre</w:t>
            </w:r>
          </w:p>
        </w:tc>
      </w:tr>
      <w:tr>
        <w:trPr>
          <w:trHeight w:val="280" w:hRule="atLeast"/>
        </w:trPr>
        <w:tc>
          <w:tcPr>
            <w:tcW w:w="960" w:type="dxa"/>
          </w:tcPr>
          <w:p>
            <w:pPr>
              <w:pStyle w:val="TableParagraph"/>
              <w:spacing w:before="19"/>
              <w:ind w:right="102"/>
              <w:jc w:val="right"/>
              <w:rPr>
                <w:sz w:val="24"/>
              </w:rPr>
            </w:pPr>
            <w:r>
              <w:rPr>
                <w:sz w:val="24"/>
              </w:rPr>
              <w:t>50</w:t>
            </w:r>
          </w:p>
        </w:tc>
        <w:tc>
          <w:tcPr>
            <w:tcW w:w="6141" w:type="dxa"/>
          </w:tcPr>
          <w:p>
            <w:pPr>
              <w:pStyle w:val="TableParagraph"/>
              <w:spacing w:before="19"/>
              <w:ind w:left="100"/>
              <w:rPr>
                <w:sz w:val="24"/>
              </w:rPr>
            </w:pPr>
            <w:r>
              <w:rPr>
                <w:sz w:val="24"/>
              </w:rPr>
              <w:t>Crossreagh Community Centre</w:t>
            </w:r>
          </w:p>
        </w:tc>
      </w:tr>
      <w:tr>
        <w:trPr>
          <w:trHeight w:val="280" w:hRule="atLeast"/>
        </w:trPr>
        <w:tc>
          <w:tcPr>
            <w:tcW w:w="960" w:type="dxa"/>
          </w:tcPr>
          <w:p>
            <w:pPr>
              <w:pStyle w:val="TableParagraph"/>
              <w:spacing w:before="19"/>
              <w:ind w:right="102"/>
              <w:jc w:val="right"/>
              <w:rPr>
                <w:sz w:val="24"/>
              </w:rPr>
            </w:pPr>
            <w:r>
              <w:rPr>
                <w:sz w:val="24"/>
              </w:rPr>
              <w:t>51</w:t>
            </w:r>
          </w:p>
        </w:tc>
        <w:tc>
          <w:tcPr>
            <w:tcW w:w="6141" w:type="dxa"/>
          </w:tcPr>
          <w:p>
            <w:pPr>
              <w:pStyle w:val="TableParagraph"/>
              <w:spacing w:before="19"/>
              <w:ind w:left="100"/>
              <w:rPr>
                <w:sz w:val="24"/>
              </w:rPr>
            </w:pPr>
            <w:r>
              <w:rPr>
                <w:sz w:val="24"/>
              </w:rPr>
              <w:t>Denn Resource Centre</w:t>
            </w:r>
          </w:p>
        </w:tc>
      </w:tr>
      <w:tr>
        <w:trPr>
          <w:trHeight w:val="300" w:hRule="atLeast"/>
        </w:trPr>
        <w:tc>
          <w:tcPr>
            <w:tcW w:w="960" w:type="dxa"/>
          </w:tcPr>
          <w:p>
            <w:pPr>
              <w:pStyle w:val="TableParagraph"/>
              <w:spacing w:before="22"/>
              <w:ind w:right="102"/>
              <w:jc w:val="right"/>
              <w:rPr>
                <w:sz w:val="24"/>
              </w:rPr>
            </w:pPr>
            <w:r>
              <w:rPr>
                <w:sz w:val="24"/>
              </w:rPr>
              <w:t>52</w:t>
            </w:r>
          </w:p>
        </w:tc>
        <w:tc>
          <w:tcPr>
            <w:tcW w:w="6141" w:type="dxa"/>
          </w:tcPr>
          <w:p>
            <w:pPr>
              <w:pStyle w:val="TableParagraph"/>
              <w:spacing w:before="22"/>
              <w:ind w:left="100"/>
              <w:rPr>
                <w:sz w:val="24"/>
              </w:rPr>
            </w:pPr>
            <w:r>
              <w:rPr>
                <w:sz w:val="24"/>
              </w:rPr>
              <w:t>Dowra Resource centre</w:t>
            </w:r>
          </w:p>
        </w:tc>
      </w:tr>
      <w:tr>
        <w:trPr>
          <w:trHeight w:val="280" w:hRule="atLeast"/>
        </w:trPr>
        <w:tc>
          <w:tcPr>
            <w:tcW w:w="960" w:type="dxa"/>
          </w:tcPr>
          <w:p>
            <w:pPr>
              <w:pStyle w:val="TableParagraph"/>
              <w:spacing w:before="19"/>
              <w:ind w:right="102"/>
              <w:jc w:val="right"/>
              <w:rPr>
                <w:sz w:val="24"/>
              </w:rPr>
            </w:pPr>
            <w:r>
              <w:rPr>
                <w:sz w:val="24"/>
              </w:rPr>
              <w:t>53</w:t>
            </w:r>
          </w:p>
        </w:tc>
        <w:tc>
          <w:tcPr>
            <w:tcW w:w="6141" w:type="dxa"/>
          </w:tcPr>
          <w:p>
            <w:pPr>
              <w:pStyle w:val="TableParagraph"/>
              <w:spacing w:before="19"/>
              <w:ind w:left="100"/>
              <w:rPr>
                <w:sz w:val="24"/>
              </w:rPr>
            </w:pPr>
            <w:r>
              <w:rPr>
                <w:sz w:val="24"/>
              </w:rPr>
              <w:t>Drumalee GFC</w:t>
            </w:r>
          </w:p>
        </w:tc>
      </w:tr>
      <w:tr>
        <w:trPr>
          <w:trHeight w:val="280" w:hRule="atLeast"/>
        </w:trPr>
        <w:tc>
          <w:tcPr>
            <w:tcW w:w="960" w:type="dxa"/>
          </w:tcPr>
          <w:p>
            <w:pPr>
              <w:pStyle w:val="TableParagraph"/>
              <w:spacing w:before="19"/>
              <w:ind w:right="102"/>
              <w:jc w:val="right"/>
              <w:rPr>
                <w:sz w:val="24"/>
              </w:rPr>
            </w:pPr>
            <w:r>
              <w:rPr>
                <w:sz w:val="24"/>
              </w:rPr>
              <w:t>54</w:t>
            </w:r>
          </w:p>
        </w:tc>
        <w:tc>
          <w:tcPr>
            <w:tcW w:w="6141" w:type="dxa"/>
          </w:tcPr>
          <w:p>
            <w:pPr>
              <w:pStyle w:val="TableParagraph"/>
              <w:spacing w:before="19"/>
              <w:ind w:left="100"/>
              <w:rPr>
                <w:sz w:val="24"/>
              </w:rPr>
            </w:pPr>
            <w:r>
              <w:rPr>
                <w:sz w:val="24"/>
              </w:rPr>
              <w:t>Drumavaddy Community Centre</w:t>
            </w:r>
          </w:p>
        </w:tc>
      </w:tr>
      <w:tr>
        <w:trPr>
          <w:trHeight w:val="280" w:hRule="atLeast"/>
        </w:trPr>
        <w:tc>
          <w:tcPr>
            <w:tcW w:w="960" w:type="dxa"/>
          </w:tcPr>
          <w:p>
            <w:pPr>
              <w:pStyle w:val="TableParagraph"/>
              <w:spacing w:before="19"/>
              <w:ind w:right="102"/>
              <w:jc w:val="right"/>
              <w:rPr>
                <w:sz w:val="24"/>
              </w:rPr>
            </w:pPr>
            <w:r>
              <w:rPr>
                <w:sz w:val="24"/>
              </w:rPr>
              <w:t>55</w:t>
            </w:r>
          </w:p>
        </w:tc>
        <w:tc>
          <w:tcPr>
            <w:tcW w:w="6141" w:type="dxa"/>
          </w:tcPr>
          <w:p>
            <w:pPr>
              <w:pStyle w:val="TableParagraph"/>
              <w:spacing w:before="19"/>
              <w:ind w:left="100"/>
              <w:rPr>
                <w:sz w:val="24"/>
              </w:rPr>
            </w:pPr>
            <w:r>
              <w:rPr>
                <w:sz w:val="24"/>
              </w:rPr>
              <w:t>Drumcor Community Centre</w:t>
            </w:r>
          </w:p>
        </w:tc>
      </w:tr>
      <w:tr>
        <w:trPr>
          <w:trHeight w:val="280" w:hRule="atLeast"/>
        </w:trPr>
        <w:tc>
          <w:tcPr>
            <w:tcW w:w="960" w:type="dxa"/>
          </w:tcPr>
          <w:p>
            <w:pPr>
              <w:pStyle w:val="TableParagraph"/>
              <w:spacing w:before="19"/>
              <w:ind w:right="102"/>
              <w:jc w:val="right"/>
              <w:rPr>
                <w:sz w:val="24"/>
              </w:rPr>
            </w:pPr>
            <w:r>
              <w:rPr>
                <w:sz w:val="24"/>
              </w:rPr>
              <w:t>56</w:t>
            </w:r>
          </w:p>
        </w:tc>
        <w:tc>
          <w:tcPr>
            <w:tcW w:w="6141" w:type="dxa"/>
          </w:tcPr>
          <w:p>
            <w:pPr>
              <w:pStyle w:val="TableParagraph"/>
              <w:spacing w:before="19"/>
              <w:ind w:left="100"/>
              <w:rPr>
                <w:sz w:val="24"/>
              </w:rPr>
            </w:pPr>
            <w:r>
              <w:rPr>
                <w:sz w:val="24"/>
              </w:rPr>
              <w:t>Drumgoon Eire Og</w:t>
            </w:r>
          </w:p>
        </w:tc>
      </w:tr>
      <w:tr>
        <w:trPr>
          <w:trHeight w:val="300" w:hRule="atLeast"/>
        </w:trPr>
        <w:tc>
          <w:tcPr>
            <w:tcW w:w="960" w:type="dxa"/>
          </w:tcPr>
          <w:p>
            <w:pPr>
              <w:pStyle w:val="TableParagraph"/>
              <w:spacing w:before="20"/>
              <w:ind w:right="102"/>
              <w:jc w:val="right"/>
              <w:rPr>
                <w:sz w:val="24"/>
              </w:rPr>
            </w:pPr>
            <w:r>
              <w:rPr>
                <w:sz w:val="24"/>
              </w:rPr>
              <w:t>57</w:t>
            </w:r>
          </w:p>
        </w:tc>
        <w:tc>
          <w:tcPr>
            <w:tcW w:w="6141" w:type="dxa"/>
          </w:tcPr>
          <w:p>
            <w:pPr>
              <w:pStyle w:val="TableParagraph"/>
              <w:spacing w:before="20"/>
              <w:ind w:left="100"/>
              <w:rPr>
                <w:sz w:val="24"/>
              </w:rPr>
            </w:pPr>
            <w:r>
              <w:rPr>
                <w:sz w:val="24"/>
              </w:rPr>
              <w:t>Drumkeeran Church Hall</w:t>
            </w:r>
          </w:p>
        </w:tc>
      </w:tr>
      <w:tr>
        <w:trPr>
          <w:trHeight w:val="300" w:hRule="atLeast"/>
        </w:trPr>
        <w:tc>
          <w:tcPr>
            <w:tcW w:w="960" w:type="dxa"/>
          </w:tcPr>
          <w:p>
            <w:pPr>
              <w:pStyle w:val="TableParagraph"/>
              <w:spacing w:before="22"/>
              <w:ind w:right="102"/>
              <w:jc w:val="right"/>
              <w:rPr>
                <w:sz w:val="24"/>
              </w:rPr>
            </w:pPr>
            <w:r>
              <w:rPr>
                <w:sz w:val="24"/>
              </w:rPr>
              <w:t>58</w:t>
            </w:r>
          </w:p>
        </w:tc>
        <w:tc>
          <w:tcPr>
            <w:tcW w:w="6141" w:type="dxa"/>
          </w:tcPr>
          <w:p>
            <w:pPr>
              <w:pStyle w:val="TableParagraph"/>
              <w:spacing w:before="22"/>
              <w:ind w:left="100"/>
              <w:rPr>
                <w:sz w:val="24"/>
              </w:rPr>
            </w:pPr>
            <w:r>
              <w:rPr>
                <w:sz w:val="24"/>
              </w:rPr>
              <w:t>Drumkilly Hall</w:t>
            </w:r>
          </w:p>
        </w:tc>
      </w:tr>
      <w:tr>
        <w:trPr>
          <w:trHeight w:val="280" w:hRule="atLeast"/>
        </w:trPr>
        <w:tc>
          <w:tcPr>
            <w:tcW w:w="960" w:type="dxa"/>
          </w:tcPr>
          <w:p>
            <w:pPr>
              <w:pStyle w:val="TableParagraph"/>
              <w:spacing w:before="19"/>
              <w:ind w:right="102"/>
              <w:jc w:val="right"/>
              <w:rPr>
                <w:sz w:val="24"/>
              </w:rPr>
            </w:pPr>
            <w:r>
              <w:rPr>
                <w:sz w:val="24"/>
              </w:rPr>
              <w:t>59</w:t>
            </w:r>
          </w:p>
        </w:tc>
        <w:tc>
          <w:tcPr>
            <w:tcW w:w="6141" w:type="dxa"/>
          </w:tcPr>
          <w:p>
            <w:pPr>
              <w:pStyle w:val="TableParagraph"/>
              <w:spacing w:before="19"/>
              <w:ind w:left="100"/>
              <w:rPr>
                <w:sz w:val="24"/>
              </w:rPr>
            </w:pPr>
            <w:r>
              <w:rPr>
                <w:sz w:val="24"/>
              </w:rPr>
              <w:t>Drumlane Community Centre</w:t>
            </w:r>
          </w:p>
        </w:tc>
      </w:tr>
      <w:tr>
        <w:trPr>
          <w:trHeight w:val="280" w:hRule="atLeast"/>
        </w:trPr>
        <w:tc>
          <w:tcPr>
            <w:tcW w:w="960" w:type="dxa"/>
          </w:tcPr>
          <w:p>
            <w:pPr>
              <w:pStyle w:val="TableParagraph"/>
              <w:spacing w:before="19"/>
              <w:ind w:right="102"/>
              <w:jc w:val="right"/>
              <w:rPr>
                <w:sz w:val="24"/>
              </w:rPr>
            </w:pPr>
            <w:r>
              <w:rPr>
                <w:sz w:val="24"/>
              </w:rPr>
              <w:t>60</w:t>
            </w:r>
          </w:p>
        </w:tc>
        <w:tc>
          <w:tcPr>
            <w:tcW w:w="6141" w:type="dxa"/>
          </w:tcPr>
          <w:p>
            <w:pPr>
              <w:pStyle w:val="TableParagraph"/>
              <w:spacing w:before="19"/>
              <w:ind w:left="100"/>
              <w:rPr>
                <w:sz w:val="24"/>
              </w:rPr>
            </w:pPr>
            <w:r>
              <w:rPr>
                <w:sz w:val="24"/>
              </w:rPr>
              <w:t>Drumlin House Training Centre</w:t>
            </w:r>
          </w:p>
        </w:tc>
      </w:tr>
      <w:tr>
        <w:trPr>
          <w:trHeight w:val="280" w:hRule="atLeast"/>
        </w:trPr>
        <w:tc>
          <w:tcPr>
            <w:tcW w:w="960" w:type="dxa"/>
          </w:tcPr>
          <w:p>
            <w:pPr>
              <w:pStyle w:val="TableParagraph"/>
              <w:spacing w:before="19"/>
              <w:ind w:right="102"/>
              <w:jc w:val="right"/>
              <w:rPr>
                <w:sz w:val="24"/>
              </w:rPr>
            </w:pPr>
            <w:r>
              <w:rPr>
                <w:sz w:val="24"/>
              </w:rPr>
              <w:t>61</w:t>
            </w:r>
          </w:p>
        </w:tc>
        <w:tc>
          <w:tcPr>
            <w:tcW w:w="6141" w:type="dxa"/>
          </w:tcPr>
          <w:p>
            <w:pPr>
              <w:pStyle w:val="TableParagraph"/>
              <w:spacing w:before="19"/>
              <w:ind w:left="100"/>
              <w:rPr>
                <w:sz w:val="24"/>
              </w:rPr>
            </w:pPr>
            <w:r>
              <w:rPr>
                <w:sz w:val="24"/>
              </w:rPr>
              <w:t>Drummartin Hall</w:t>
            </w:r>
          </w:p>
        </w:tc>
      </w:tr>
      <w:tr>
        <w:trPr>
          <w:trHeight w:val="280" w:hRule="atLeast"/>
        </w:trPr>
        <w:tc>
          <w:tcPr>
            <w:tcW w:w="960" w:type="dxa"/>
          </w:tcPr>
          <w:p>
            <w:pPr>
              <w:pStyle w:val="TableParagraph"/>
              <w:spacing w:before="19"/>
              <w:ind w:right="102"/>
              <w:jc w:val="right"/>
              <w:rPr>
                <w:sz w:val="24"/>
              </w:rPr>
            </w:pPr>
            <w:r>
              <w:rPr>
                <w:sz w:val="24"/>
              </w:rPr>
              <w:t>62</w:t>
            </w:r>
          </w:p>
        </w:tc>
        <w:tc>
          <w:tcPr>
            <w:tcW w:w="6141" w:type="dxa"/>
          </w:tcPr>
          <w:p>
            <w:pPr>
              <w:pStyle w:val="TableParagraph"/>
              <w:spacing w:before="19"/>
              <w:ind w:left="100"/>
              <w:rPr>
                <w:sz w:val="24"/>
              </w:rPr>
            </w:pPr>
            <w:r>
              <w:rPr>
                <w:sz w:val="24"/>
              </w:rPr>
              <w:t>Drung Parish Hall</w:t>
            </w:r>
          </w:p>
        </w:tc>
      </w:tr>
      <w:tr>
        <w:trPr>
          <w:trHeight w:val="280" w:hRule="atLeast"/>
        </w:trPr>
        <w:tc>
          <w:tcPr>
            <w:tcW w:w="960" w:type="dxa"/>
          </w:tcPr>
          <w:p>
            <w:pPr>
              <w:pStyle w:val="TableParagraph"/>
              <w:spacing w:before="19"/>
              <w:ind w:right="102"/>
              <w:jc w:val="right"/>
              <w:rPr>
                <w:sz w:val="24"/>
              </w:rPr>
            </w:pPr>
            <w:r>
              <w:rPr>
                <w:sz w:val="24"/>
              </w:rPr>
              <w:t>63</w:t>
            </w:r>
          </w:p>
        </w:tc>
        <w:tc>
          <w:tcPr>
            <w:tcW w:w="6141" w:type="dxa"/>
          </w:tcPr>
          <w:p>
            <w:pPr>
              <w:pStyle w:val="TableParagraph"/>
              <w:spacing w:before="19"/>
              <w:ind w:left="100"/>
              <w:rPr>
                <w:sz w:val="24"/>
              </w:rPr>
            </w:pPr>
            <w:r>
              <w:rPr>
                <w:sz w:val="24"/>
              </w:rPr>
              <w:t>Events Space  Johnston Central Library</w:t>
            </w:r>
          </w:p>
        </w:tc>
      </w:tr>
      <w:tr>
        <w:trPr>
          <w:trHeight w:val="300" w:hRule="atLeast"/>
        </w:trPr>
        <w:tc>
          <w:tcPr>
            <w:tcW w:w="960" w:type="dxa"/>
          </w:tcPr>
          <w:p>
            <w:pPr>
              <w:pStyle w:val="TableParagraph"/>
              <w:spacing w:before="22"/>
              <w:ind w:right="102"/>
              <w:jc w:val="right"/>
              <w:rPr>
                <w:sz w:val="24"/>
              </w:rPr>
            </w:pPr>
            <w:r>
              <w:rPr>
                <w:sz w:val="24"/>
              </w:rPr>
              <w:t>64</w:t>
            </w:r>
          </w:p>
        </w:tc>
        <w:tc>
          <w:tcPr>
            <w:tcW w:w="6141" w:type="dxa"/>
          </w:tcPr>
          <w:p>
            <w:pPr>
              <w:pStyle w:val="TableParagraph"/>
              <w:spacing w:before="22"/>
              <w:ind w:left="100"/>
              <w:rPr>
                <w:sz w:val="24"/>
              </w:rPr>
            </w:pPr>
            <w:r>
              <w:rPr>
                <w:sz w:val="24"/>
              </w:rPr>
              <w:t>Focus Family Resource Center</w:t>
            </w:r>
          </w:p>
        </w:tc>
      </w:tr>
      <w:tr>
        <w:trPr>
          <w:trHeight w:val="280" w:hRule="atLeast"/>
        </w:trPr>
        <w:tc>
          <w:tcPr>
            <w:tcW w:w="960" w:type="dxa"/>
          </w:tcPr>
          <w:p>
            <w:pPr>
              <w:pStyle w:val="TableParagraph"/>
              <w:spacing w:before="19"/>
              <w:ind w:right="102"/>
              <w:jc w:val="right"/>
              <w:rPr>
                <w:sz w:val="24"/>
              </w:rPr>
            </w:pPr>
            <w:r>
              <w:rPr>
                <w:sz w:val="24"/>
              </w:rPr>
              <w:t>65</w:t>
            </w:r>
          </w:p>
        </w:tc>
        <w:tc>
          <w:tcPr>
            <w:tcW w:w="6141" w:type="dxa"/>
          </w:tcPr>
          <w:p>
            <w:pPr>
              <w:pStyle w:val="TableParagraph"/>
              <w:spacing w:before="19"/>
              <w:ind w:left="100"/>
              <w:rPr>
                <w:sz w:val="24"/>
              </w:rPr>
            </w:pPr>
            <w:r>
              <w:rPr>
                <w:sz w:val="24"/>
              </w:rPr>
              <w:t>Gallonray House</w:t>
            </w:r>
          </w:p>
        </w:tc>
      </w:tr>
      <w:tr>
        <w:trPr>
          <w:trHeight w:val="280" w:hRule="atLeast"/>
        </w:trPr>
        <w:tc>
          <w:tcPr>
            <w:tcW w:w="960" w:type="dxa"/>
          </w:tcPr>
          <w:p>
            <w:pPr>
              <w:pStyle w:val="TableParagraph"/>
              <w:spacing w:before="19"/>
              <w:ind w:right="102"/>
              <w:jc w:val="right"/>
              <w:rPr>
                <w:sz w:val="24"/>
              </w:rPr>
            </w:pPr>
            <w:r>
              <w:rPr>
                <w:sz w:val="24"/>
              </w:rPr>
              <w:t>66</w:t>
            </w:r>
          </w:p>
        </w:tc>
        <w:tc>
          <w:tcPr>
            <w:tcW w:w="6141" w:type="dxa"/>
          </w:tcPr>
          <w:p>
            <w:pPr>
              <w:pStyle w:val="TableParagraph"/>
              <w:spacing w:before="19"/>
              <w:ind w:left="100"/>
              <w:rPr>
                <w:sz w:val="24"/>
              </w:rPr>
            </w:pPr>
            <w:r>
              <w:rPr>
                <w:sz w:val="24"/>
              </w:rPr>
              <w:t>Gowna GAA Club</w:t>
            </w:r>
          </w:p>
        </w:tc>
      </w:tr>
      <w:tr>
        <w:trPr>
          <w:trHeight w:val="300" w:hRule="atLeast"/>
        </w:trPr>
        <w:tc>
          <w:tcPr>
            <w:tcW w:w="960" w:type="dxa"/>
          </w:tcPr>
          <w:p>
            <w:pPr>
              <w:pStyle w:val="TableParagraph"/>
              <w:spacing w:line="261" w:lineRule="exact" w:before="19"/>
              <w:ind w:right="102"/>
              <w:jc w:val="right"/>
              <w:rPr>
                <w:sz w:val="24"/>
              </w:rPr>
            </w:pPr>
            <w:r>
              <w:rPr>
                <w:sz w:val="24"/>
              </w:rPr>
              <w:t>67</w:t>
            </w:r>
          </w:p>
        </w:tc>
        <w:tc>
          <w:tcPr>
            <w:tcW w:w="6141" w:type="dxa"/>
          </w:tcPr>
          <w:p>
            <w:pPr>
              <w:pStyle w:val="TableParagraph"/>
              <w:spacing w:line="261" w:lineRule="exact" w:before="19"/>
              <w:ind w:left="100"/>
              <w:rPr>
                <w:sz w:val="24"/>
              </w:rPr>
            </w:pPr>
            <w:r>
              <w:rPr>
                <w:sz w:val="24"/>
              </w:rPr>
              <w:t>Irish Wheelchair Association</w:t>
            </w:r>
          </w:p>
        </w:tc>
      </w:tr>
      <w:tr>
        <w:trPr>
          <w:trHeight w:val="280" w:hRule="atLeast"/>
        </w:trPr>
        <w:tc>
          <w:tcPr>
            <w:tcW w:w="960" w:type="dxa"/>
          </w:tcPr>
          <w:p>
            <w:pPr>
              <w:pStyle w:val="TableParagraph"/>
              <w:spacing w:before="19"/>
              <w:ind w:right="102"/>
              <w:jc w:val="right"/>
              <w:rPr>
                <w:sz w:val="24"/>
              </w:rPr>
            </w:pPr>
            <w:r>
              <w:rPr>
                <w:sz w:val="24"/>
              </w:rPr>
              <w:t>68</w:t>
            </w:r>
          </w:p>
        </w:tc>
        <w:tc>
          <w:tcPr>
            <w:tcW w:w="6141" w:type="dxa"/>
          </w:tcPr>
          <w:p>
            <w:pPr>
              <w:pStyle w:val="TableParagraph"/>
              <w:spacing w:before="19"/>
              <w:ind w:left="100"/>
              <w:rPr>
                <w:sz w:val="24"/>
              </w:rPr>
            </w:pPr>
            <w:r>
              <w:rPr>
                <w:sz w:val="24"/>
              </w:rPr>
              <w:t>Kildallan Community Hall</w:t>
            </w:r>
          </w:p>
        </w:tc>
      </w:tr>
      <w:tr>
        <w:trPr>
          <w:trHeight w:val="280" w:hRule="atLeast"/>
        </w:trPr>
        <w:tc>
          <w:tcPr>
            <w:tcW w:w="960" w:type="dxa"/>
          </w:tcPr>
          <w:p>
            <w:pPr>
              <w:pStyle w:val="TableParagraph"/>
              <w:spacing w:before="19"/>
              <w:ind w:right="102"/>
              <w:jc w:val="right"/>
              <w:rPr>
                <w:sz w:val="24"/>
              </w:rPr>
            </w:pPr>
            <w:r>
              <w:rPr>
                <w:sz w:val="24"/>
              </w:rPr>
              <w:t>69</w:t>
            </w:r>
          </w:p>
        </w:tc>
        <w:tc>
          <w:tcPr>
            <w:tcW w:w="6141" w:type="dxa"/>
          </w:tcPr>
          <w:p>
            <w:pPr>
              <w:pStyle w:val="TableParagraph"/>
              <w:spacing w:before="19"/>
              <w:ind w:left="100"/>
              <w:rPr>
                <w:sz w:val="24"/>
              </w:rPr>
            </w:pPr>
            <w:r>
              <w:rPr>
                <w:sz w:val="24"/>
              </w:rPr>
              <w:t>Kildallon GAA Club</w:t>
            </w:r>
          </w:p>
        </w:tc>
      </w:tr>
      <w:tr>
        <w:trPr>
          <w:trHeight w:val="300" w:hRule="atLeast"/>
        </w:trPr>
        <w:tc>
          <w:tcPr>
            <w:tcW w:w="960" w:type="dxa"/>
          </w:tcPr>
          <w:p>
            <w:pPr>
              <w:pStyle w:val="TableParagraph"/>
              <w:spacing w:before="22"/>
              <w:ind w:right="102"/>
              <w:jc w:val="right"/>
              <w:rPr>
                <w:sz w:val="24"/>
              </w:rPr>
            </w:pPr>
            <w:r>
              <w:rPr>
                <w:sz w:val="24"/>
              </w:rPr>
              <w:t>70</w:t>
            </w:r>
          </w:p>
        </w:tc>
        <w:tc>
          <w:tcPr>
            <w:tcW w:w="6141" w:type="dxa"/>
          </w:tcPr>
          <w:p>
            <w:pPr>
              <w:pStyle w:val="TableParagraph"/>
              <w:spacing w:before="22"/>
              <w:ind w:left="100"/>
              <w:rPr>
                <w:sz w:val="24"/>
              </w:rPr>
            </w:pPr>
            <w:r>
              <w:rPr>
                <w:sz w:val="24"/>
              </w:rPr>
              <w:t>Kildallon Sunday School</w:t>
            </w:r>
          </w:p>
        </w:tc>
      </w:tr>
      <w:tr>
        <w:trPr>
          <w:trHeight w:val="280" w:hRule="atLeast"/>
        </w:trPr>
        <w:tc>
          <w:tcPr>
            <w:tcW w:w="960" w:type="dxa"/>
          </w:tcPr>
          <w:p>
            <w:pPr>
              <w:pStyle w:val="TableParagraph"/>
              <w:spacing w:before="19"/>
              <w:ind w:right="102"/>
              <w:jc w:val="right"/>
              <w:rPr>
                <w:sz w:val="24"/>
              </w:rPr>
            </w:pPr>
            <w:r>
              <w:rPr>
                <w:sz w:val="24"/>
              </w:rPr>
              <w:t>71</w:t>
            </w:r>
          </w:p>
        </w:tc>
        <w:tc>
          <w:tcPr>
            <w:tcW w:w="6141" w:type="dxa"/>
          </w:tcPr>
          <w:p>
            <w:pPr>
              <w:pStyle w:val="TableParagraph"/>
              <w:spacing w:before="19"/>
              <w:ind w:left="100"/>
              <w:rPr>
                <w:sz w:val="24"/>
              </w:rPr>
            </w:pPr>
            <w:r>
              <w:rPr>
                <w:sz w:val="24"/>
              </w:rPr>
              <w:t>Killeshandra (Croghan) Church Hall</w:t>
            </w:r>
          </w:p>
        </w:tc>
      </w:tr>
      <w:tr>
        <w:trPr>
          <w:trHeight w:val="280" w:hRule="atLeast"/>
        </w:trPr>
        <w:tc>
          <w:tcPr>
            <w:tcW w:w="960" w:type="dxa"/>
          </w:tcPr>
          <w:p>
            <w:pPr>
              <w:pStyle w:val="TableParagraph"/>
              <w:spacing w:before="19"/>
              <w:ind w:right="102"/>
              <w:jc w:val="right"/>
              <w:rPr>
                <w:sz w:val="24"/>
              </w:rPr>
            </w:pPr>
            <w:r>
              <w:rPr>
                <w:sz w:val="24"/>
              </w:rPr>
              <w:t>72</w:t>
            </w:r>
          </w:p>
        </w:tc>
        <w:tc>
          <w:tcPr>
            <w:tcW w:w="6141" w:type="dxa"/>
          </w:tcPr>
          <w:p>
            <w:pPr>
              <w:pStyle w:val="TableParagraph"/>
              <w:spacing w:before="19"/>
              <w:ind w:left="100"/>
              <w:rPr>
                <w:sz w:val="24"/>
              </w:rPr>
            </w:pPr>
            <w:r>
              <w:rPr>
                <w:sz w:val="24"/>
              </w:rPr>
              <w:t>Killeshandra Community Council Resource Centre</w:t>
            </w:r>
          </w:p>
        </w:tc>
      </w:tr>
      <w:tr>
        <w:trPr>
          <w:trHeight w:val="280" w:hRule="atLeast"/>
        </w:trPr>
        <w:tc>
          <w:tcPr>
            <w:tcW w:w="960" w:type="dxa"/>
          </w:tcPr>
          <w:p>
            <w:pPr>
              <w:pStyle w:val="TableParagraph"/>
              <w:spacing w:before="19"/>
              <w:ind w:right="102"/>
              <w:jc w:val="right"/>
              <w:rPr>
                <w:sz w:val="24"/>
              </w:rPr>
            </w:pPr>
            <w:r>
              <w:rPr>
                <w:sz w:val="24"/>
              </w:rPr>
              <w:t>73</w:t>
            </w:r>
          </w:p>
        </w:tc>
        <w:tc>
          <w:tcPr>
            <w:tcW w:w="6141" w:type="dxa"/>
          </w:tcPr>
          <w:p>
            <w:pPr>
              <w:pStyle w:val="TableParagraph"/>
              <w:spacing w:before="19"/>
              <w:ind w:left="100"/>
              <w:rPr>
                <w:sz w:val="24"/>
              </w:rPr>
            </w:pPr>
            <w:r>
              <w:rPr>
                <w:sz w:val="24"/>
              </w:rPr>
              <w:t>Killeshandra GAA Club</w:t>
            </w:r>
          </w:p>
        </w:tc>
      </w:tr>
      <w:tr>
        <w:trPr>
          <w:trHeight w:val="340" w:hRule="atLeast"/>
        </w:trPr>
        <w:tc>
          <w:tcPr>
            <w:tcW w:w="960" w:type="dxa"/>
          </w:tcPr>
          <w:p>
            <w:pPr>
              <w:pStyle w:val="TableParagraph"/>
              <w:spacing w:before="65"/>
              <w:ind w:right="102"/>
              <w:jc w:val="right"/>
              <w:rPr>
                <w:sz w:val="24"/>
              </w:rPr>
            </w:pPr>
            <w:r>
              <w:rPr>
                <w:sz w:val="24"/>
              </w:rPr>
              <w:t>74</w:t>
            </w:r>
          </w:p>
        </w:tc>
        <w:tc>
          <w:tcPr>
            <w:tcW w:w="6141" w:type="dxa"/>
          </w:tcPr>
          <w:p>
            <w:pPr>
              <w:pStyle w:val="TableParagraph"/>
              <w:spacing w:before="65"/>
              <w:ind w:left="100"/>
              <w:rPr>
                <w:sz w:val="24"/>
              </w:rPr>
            </w:pPr>
            <w:r>
              <w:rPr>
                <w:sz w:val="24"/>
              </w:rPr>
              <w:t>Killinkere Leisure centre</w:t>
            </w:r>
          </w:p>
        </w:tc>
      </w:tr>
      <w:tr>
        <w:trPr>
          <w:trHeight w:val="280" w:hRule="atLeast"/>
        </w:trPr>
        <w:tc>
          <w:tcPr>
            <w:tcW w:w="960" w:type="dxa"/>
          </w:tcPr>
          <w:p>
            <w:pPr>
              <w:pStyle w:val="TableParagraph"/>
              <w:spacing w:before="19"/>
              <w:ind w:right="102"/>
              <w:jc w:val="right"/>
              <w:rPr>
                <w:sz w:val="24"/>
              </w:rPr>
            </w:pPr>
            <w:r>
              <w:rPr>
                <w:sz w:val="24"/>
              </w:rPr>
              <w:t>75</w:t>
            </w:r>
          </w:p>
        </w:tc>
        <w:tc>
          <w:tcPr>
            <w:tcW w:w="6141" w:type="dxa"/>
          </w:tcPr>
          <w:p>
            <w:pPr>
              <w:pStyle w:val="TableParagraph"/>
              <w:spacing w:before="19"/>
              <w:ind w:left="100"/>
              <w:rPr>
                <w:sz w:val="24"/>
              </w:rPr>
            </w:pPr>
            <w:r>
              <w:rPr>
                <w:sz w:val="24"/>
              </w:rPr>
              <w:t>Killinkere Parish Hall (Church of Ireland)</w:t>
            </w:r>
          </w:p>
        </w:tc>
      </w:tr>
      <w:tr>
        <w:trPr>
          <w:trHeight w:val="280" w:hRule="atLeast"/>
        </w:trPr>
        <w:tc>
          <w:tcPr>
            <w:tcW w:w="960" w:type="dxa"/>
          </w:tcPr>
          <w:p>
            <w:pPr>
              <w:pStyle w:val="TableParagraph"/>
              <w:spacing w:before="19"/>
              <w:ind w:right="102"/>
              <w:jc w:val="right"/>
              <w:rPr>
                <w:sz w:val="24"/>
              </w:rPr>
            </w:pPr>
            <w:r>
              <w:rPr>
                <w:sz w:val="24"/>
              </w:rPr>
              <w:t>76</w:t>
            </w:r>
          </w:p>
        </w:tc>
        <w:tc>
          <w:tcPr>
            <w:tcW w:w="6141" w:type="dxa"/>
          </w:tcPr>
          <w:p>
            <w:pPr>
              <w:pStyle w:val="TableParagraph"/>
              <w:spacing w:before="19"/>
              <w:ind w:left="100"/>
              <w:rPr>
                <w:sz w:val="24"/>
              </w:rPr>
            </w:pPr>
            <w:r>
              <w:rPr>
                <w:sz w:val="24"/>
              </w:rPr>
              <w:t>Killoughter Hall</w:t>
            </w:r>
          </w:p>
        </w:tc>
      </w:tr>
      <w:tr>
        <w:trPr>
          <w:trHeight w:val="340" w:hRule="atLeast"/>
        </w:trPr>
        <w:tc>
          <w:tcPr>
            <w:tcW w:w="960" w:type="dxa"/>
          </w:tcPr>
          <w:p>
            <w:pPr>
              <w:pStyle w:val="TableParagraph"/>
              <w:spacing w:line="261" w:lineRule="exact" w:before="65"/>
              <w:ind w:right="102"/>
              <w:jc w:val="right"/>
              <w:rPr>
                <w:sz w:val="24"/>
              </w:rPr>
            </w:pPr>
            <w:r>
              <w:rPr>
                <w:sz w:val="24"/>
              </w:rPr>
              <w:t>77</w:t>
            </w:r>
          </w:p>
        </w:tc>
        <w:tc>
          <w:tcPr>
            <w:tcW w:w="6141" w:type="dxa"/>
          </w:tcPr>
          <w:p>
            <w:pPr>
              <w:pStyle w:val="TableParagraph"/>
              <w:spacing w:line="261" w:lineRule="exact" w:before="65"/>
              <w:ind w:left="100"/>
              <w:rPr>
                <w:sz w:val="24"/>
              </w:rPr>
            </w:pPr>
            <w:r>
              <w:rPr>
                <w:sz w:val="24"/>
              </w:rPr>
              <w:t>Killygarry GAA Club</w:t>
            </w:r>
          </w:p>
        </w:tc>
      </w:tr>
      <w:tr>
        <w:trPr>
          <w:trHeight w:val="280" w:hRule="atLeast"/>
        </w:trPr>
        <w:tc>
          <w:tcPr>
            <w:tcW w:w="960" w:type="dxa"/>
          </w:tcPr>
          <w:p>
            <w:pPr>
              <w:pStyle w:val="TableParagraph"/>
              <w:spacing w:before="19"/>
              <w:ind w:right="102"/>
              <w:jc w:val="right"/>
              <w:rPr>
                <w:sz w:val="24"/>
              </w:rPr>
            </w:pPr>
            <w:r>
              <w:rPr>
                <w:sz w:val="24"/>
              </w:rPr>
              <w:t>78</w:t>
            </w:r>
          </w:p>
        </w:tc>
        <w:tc>
          <w:tcPr>
            <w:tcW w:w="6141" w:type="dxa"/>
          </w:tcPr>
          <w:p>
            <w:pPr>
              <w:pStyle w:val="TableParagraph"/>
              <w:spacing w:before="19"/>
              <w:ind w:left="100"/>
              <w:rPr>
                <w:sz w:val="24"/>
              </w:rPr>
            </w:pPr>
            <w:r>
              <w:rPr>
                <w:sz w:val="24"/>
              </w:rPr>
              <w:t>Kilmore Docesan Pastoral Centre</w:t>
            </w:r>
          </w:p>
        </w:tc>
      </w:tr>
      <w:tr>
        <w:trPr>
          <w:trHeight w:val="300" w:hRule="atLeast"/>
        </w:trPr>
        <w:tc>
          <w:tcPr>
            <w:tcW w:w="960" w:type="dxa"/>
          </w:tcPr>
          <w:p>
            <w:pPr>
              <w:pStyle w:val="TableParagraph"/>
              <w:spacing w:before="22"/>
              <w:ind w:right="102"/>
              <w:jc w:val="right"/>
              <w:rPr>
                <w:sz w:val="24"/>
              </w:rPr>
            </w:pPr>
            <w:r>
              <w:rPr>
                <w:sz w:val="24"/>
              </w:rPr>
              <w:t>79</w:t>
            </w:r>
          </w:p>
        </w:tc>
        <w:tc>
          <w:tcPr>
            <w:tcW w:w="6141" w:type="dxa"/>
          </w:tcPr>
          <w:p>
            <w:pPr>
              <w:pStyle w:val="TableParagraph"/>
              <w:spacing w:before="22"/>
              <w:ind w:left="100"/>
              <w:rPr>
                <w:sz w:val="24"/>
              </w:rPr>
            </w:pPr>
            <w:r>
              <w:rPr>
                <w:sz w:val="24"/>
              </w:rPr>
              <w:t>Kilmore Parish Hall</w:t>
            </w:r>
          </w:p>
        </w:tc>
      </w:tr>
      <w:tr>
        <w:trPr>
          <w:trHeight w:val="280" w:hRule="atLeast"/>
        </w:trPr>
        <w:tc>
          <w:tcPr>
            <w:tcW w:w="960" w:type="dxa"/>
          </w:tcPr>
          <w:p>
            <w:pPr>
              <w:pStyle w:val="TableParagraph"/>
              <w:spacing w:before="19"/>
              <w:ind w:right="102"/>
              <w:jc w:val="right"/>
              <w:rPr>
                <w:sz w:val="24"/>
              </w:rPr>
            </w:pPr>
            <w:r>
              <w:rPr>
                <w:sz w:val="24"/>
              </w:rPr>
              <w:t>80</w:t>
            </w:r>
          </w:p>
        </w:tc>
        <w:tc>
          <w:tcPr>
            <w:tcW w:w="6141" w:type="dxa"/>
          </w:tcPr>
          <w:p>
            <w:pPr>
              <w:pStyle w:val="TableParagraph"/>
              <w:spacing w:before="19"/>
              <w:ind w:left="100"/>
              <w:rPr>
                <w:sz w:val="24"/>
              </w:rPr>
            </w:pPr>
            <w:r>
              <w:rPr>
                <w:sz w:val="24"/>
              </w:rPr>
              <w:t>Kilnaleck Community Hall</w:t>
            </w:r>
          </w:p>
        </w:tc>
      </w:tr>
      <w:tr>
        <w:trPr>
          <w:trHeight w:val="340" w:hRule="atLeast"/>
        </w:trPr>
        <w:tc>
          <w:tcPr>
            <w:tcW w:w="960" w:type="dxa"/>
          </w:tcPr>
          <w:p>
            <w:pPr>
              <w:pStyle w:val="TableParagraph"/>
              <w:spacing w:before="65"/>
              <w:ind w:right="102"/>
              <w:jc w:val="right"/>
              <w:rPr>
                <w:sz w:val="24"/>
              </w:rPr>
            </w:pPr>
            <w:r>
              <w:rPr>
                <w:sz w:val="24"/>
              </w:rPr>
              <w:t>81</w:t>
            </w:r>
          </w:p>
        </w:tc>
        <w:tc>
          <w:tcPr>
            <w:tcW w:w="6141" w:type="dxa"/>
          </w:tcPr>
          <w:p>
            <w:pPr>
              <w:pStyle w:val="TableParagraph"/>
              <w:spacing w:before="65"/>
              <w:ind w:left="100"/>
              <w:rPr>
                <w:sz w:val="24"/>
              </w:rPr>
            </w:pPr>
            <w:r>
              <w:rPr>
                <w:sz w:val="24"/>
              </w:rPr>
              <w:t>Kingscourt Community Centre</w:t>
            </w:r>
          </w:p>
        </w:tc>
      </w:tr>
      <w:tr>
        <w:trPr>
          <w:trHeight w:val="340" w:hRule="atLeast"/>
        </w:trPr>
        <w:tc>
          <w:tcPr>
            <w:tcW w:w="960" w:type="dxa"/>
          </w:tcPr>
          <w:p>
            <w:pPr>
              <w:pStyle w:val="TableParagraph"/>
              <w:spacing w:before="65"/>
              <w:ind w:right="102"/>
              <w:jc w:val="right"/>
              <w:rPr>
                <w:sz w:val="24"/>
              </w:rPr>
            </w:pPr>
            <w:r>
              <w:rPr>
                <w:sz w:val="24"/>
              </w:rPr>
              <w:t>82</w:t>
            </w:r>
          </w:p>
        </w:tc>
        <w:tc>
          <w:tcPr>
            <w:tcW w:w="6141" w:type="dxa"/>
          </w:tcPr>
          <w:p>
            <w:pPr>
              <w:pStyle w:val="TableParagraph"/>
              <w:spacing w:before="65"/>
              <w:ind w:left="100"/>
              <w:rPr>
                <w:sz w:val="24"/>
              </w:rPr>
            </w:pPr>
            <w:r>
              <w:rPr>
                <w:sz w:val="24"/>
              </w:rPr>
              <w:t>Kingscourt Harps AFC</w:t>
            </w:r>
          </w:p>
        </w:tc>
      </w:tr>
      <w:tr>
        <w:trPr>
          <w:trHeight w:val="280" w:hRule="atLeast"/>
        </w:trPr>
        <w:tc>
          <w:tcPr>
            <w:tcW w:w="960" w:type="dxa"/>
          </w:tcPr>
          <w:p>
            <w:pPr>
              <w:pStyle w:val="TableParagraph"/>
              <w:spacing w:before="19"/>
              <w:ind w:right="102"/>
              <w:jc w:val="right"/>
              <w:rPr>
                <w:sz w:val="24"/>
              </w:rPr>
            </w:pPr>
            <w:r>
              <w:rPr>
                <w:sz w:val="24"/>
              </w:rPr>
              <w:t>83</w:t>
            </w:r>
          </w:p>
        </w:tc>
        <w:tc>
          <w:tcPr>
            <w:tcW w:w="6141" w:type="dxa"/>
          </w:tcPr>
          <w:p>
            <w:pPr>
              <w:pStyle w:val="TableParagraph"/>
              <w:spacing w:before="19"/>
              <w:ind w:left="100"/>
              <w:rPr>
                <w:sz w:val="24"/>
              </w:rPr>
            </w:pPr>
            <w:r>
              <w:rPr>
                <w:sz w:val="24"/>
              </w:rPr>
              <w:t>Kingscourt Stars</w:t>
            </w:r>
          </w:p>
        </w:tc>
      </w:tr>
      <w:tr>
        <w:trPr>
          <w:trHeight w:val="280" w:hRule="atLeast"/>
        </w:trPr>
        <w:tc>
          <w:tcPr>
            <w:tcW w:w="960" w:type="dxa"/>
          </w:tcPr>
          <w:p>
            <w:pPr>
              <w:pStyle w:val="TableParagraph"/>
              <w:spacing w:before="19"/>
              <w:ind w:right="102"/>
              <w:jc w:val="right"/>
              <w:rPr>
                <w:sz w:val="24"/>
              </w:rPr>
            </w:pPr>
            <w:r>
              <w:rPr>
                <w:sz w:val="24"/>
              </w:rPr>
              <w:t>84</w:t>
            </w:r>
          </w:p>
        </w:tc>
        <w:tc>
          <w:tcPr>
            <w:tcW w:w="6141" w:type="dxa"/>
          </w:tcPr>
          <w:p>
            <w:pPr>
              <w:pStyle w:val="TableParagraph"/>
              <w:spacing w:before="19"/>
              <w:ind w:left="100"/>
              <w:rPr>
                <w:sz w:val="24"/>
              </w:rPr>
            </w:pPr>
            <w:r>
              <w:rPr>
                <w:sz w:val="24"/>
              </w:rPr>
              <w:t>Kingspan Breffni Park</w:t>
            </w:r>
          </w:p>
        </w:tc>
      </w:tr>
      <w:tr>
        <w:trPr>
          <w:trHeight w:val="280" w:hRule="atLeast"/>
        </w:trPr>
        <w:tc>
          <w:tcPr>
            <w:tcW w:w="960" w:type="dxa"/>
          </w:tcPr>
          <w:p>
            <w:pPr>
              <w:pStyle w:val="TableParagraph"/>
              <w:spacing w:before="19"/>
              <w:ind w:right="102"/>
              <w:jc w:val="right"/>
              <w:rPr>
                <w:sz w:val="24"/>
              </w:rPr>
            </w:pPr>
            <w:r>
              <w:rPr>
                <w:sz w:val="24"/>
              </w:rPr>
              <w:t>85</w:t>
            </w:r>
          </w:p>
        </w:tc>
        <w:tc>
          <w:tcPr>
            <w:tcW w:w="6141" w:type="dxa"/>
          </w:tcPr>
          <w:p>
            <w:pPr>
              <w:pStyle w:val="TableParagraph"/>
              <w:spacing w:before="19"/>
              <w:ind w:left="100"/>
              <w:rPr>
                <w:sz w:val="24"/>
              </w:rPr>
            </w:pPr>
            <w:r>
              <w:rPr>
                <w:sz w:val="24"/>
              </w:rPr>
              <w:t>Knockbride GAA Club</w:t>
            </w:r>
          </w:p>
        </w:tc>
      </w:tr>
      <w:tr>
        <w:trPr>
          <w:trHeight w:val="280" w:hRule="atLeast"/>
        </w:trPr>
        <w:tc>
          <w:tcPr>
            <w:tcW w:w="960" w:type="dxa"/>
          </w:tcPr>
          <w:p>
            <w:pPr>
              <w:pStyle w:val="TableParagraph"/>
              <w:spacing w:before="19"/>
              <w:ind w:right="102"/>
              <w:jc w:val="right"/>
              <w:rPr>
                <w:sz w:val="24"/>
              </w:rPr>
            </w:pPr>
            <w:r>
              <w:rPr>
                <w:sz w:val="24"/>
              </w:rPr>
              <w:t>86</w:t>
            </w:r>
          </w:p>
        </w:tc>
        <w:tc>
          <w:tcPr>
            <w:tcW w:w="6141" w:type="dxa"/>
          </w:tcPr>
          <w:p>
            <w:pPr>
              <w:pStyle w:val="TableParagraph"/>
              <w:spacing w:before="19"/>
              <w:ind w:left="100"/>
              <w:rPr>
                <w:sz w:val="24"/>
              </w:rPr>
            </w:pPr>
            <w:r>
              <w:rPr>
                <w:sz w:val="24"/>
              </w:rPr>
              <w:t>Lacken Celtic GAA Club</w:t>
            </w:r>
          </w:p>
        </w:tc>
      </w:tr>
      <w:tr>
        <w:trPr>
          <w:trHeight w:val="340" w:hRule="atLeast"/>
        </w:trPr>
        <w:tc>
          <w:tcPr>
            <w:tcW w:w="960" w:type="dxa"/>
          </w:tcPr>
          <w:p>
            <w:pPr>
              <w:pStyle w:val="TableParagraph"/>
              <w:spacing w:before="65"/>
              <w:ind w:right="102"/>
              <w:jc w:val="right"/>
              <w:rPr>
                <w:sz w:val="24"/>
              </w:rPr>
            </w:pPr>
            <w:r>
              <w:rPr>
                <w:sz w:val="24"/>
              </w:rPr>
              <w:t>87</w:t>
            </w:r>
          </w:p>
        </w:tc>
        <w:tc>
          <w:tcPr>
            <w:tcW w:w="6141" w:type="dxa"/>
          </w:tcPr>
          <w:p>
            <w:pPr>
              <w:pStyle w:val="TableParagraph"/>
              <w:spacing w:before="65"/>
              <w:ind w:left="100"/>
              <w:rPr>
                <w:sz w:val="24"/>
              </w:rPr>
            </w:pPr>
            <w:r>
              <w:rPr>
                <w:sz w:val="24"/>
              </w:rPr>
              <w:t>Laragh Community Centre</w:t>
            </w:r>
          </w:p>
        </w:tc>
      </w:tr>
      <w:tr>
        <w:trPr>
          <w:trHeight w:val="340" w:hRule="atLeast"/>
        </w:trPr>
        <w:tc>
          <w:tcPr>
            <w:tcW w:w="960" w:type="dxa"/>
          </w:tcPr>
          <w:p>
            <w:pPr>
              <w:pStyle w:val="TableParagraph"/>
              <w:spacing w:before="65"/>
              <w:ind w:right="102"/>
              <w:jc w:val="right"/>
              <w:rPr>
                <w:sz w:val="24"/>
              </w:rPr>
            </w:pPr>
            <w:r>
              <w:rPr>
                <w:sz w:val="24"/>
              </w:rPr>
              <w:t>88</w:t>
            </w:r>
          </w:p>
        </w:tc>
        <w:tc>
          <w:tcPr>
            <w:tcW w:w="6141" w:type="dxa"/>
          </w:tcPr>
          <w:p>
            <w:pPr>
              <w:pStyle w:val="TableParagraph"/>
              <w:spacing w:before="65"/>
              <w:ind w:left="100"/>
              <w:rPr>
                <w:sz w:val="24"/>
              </w:rPr>
            </w:pPr>
            <w:r>
              <w:rPr>
                <w:sz w:val="24"/>
              </w:rPr>
              <w:t>Lavey Community Centre</w:t>
            </w:r>
          </w:p>
        </w:tc>
      </w:tr>
      <w:tr>
        <w:trPr>
          <w:trHeight w:val="340" w:hRule="atLeast"/>
        </w:trPr>
        <w:tc>
          <w:tcPr>
            <w:tcW w:w="960" w:type="dxa"/>
          </w:tcPr>
          <w:p>
            <w:pPr>
              <w:pStyle w:val="TableParagraph"/>
              <w:spacing w:before="65"/>
              <w:ind w:right="102"/>
              <w:jc w:val="right"/>
              <w:rPr>
                <w:sz w:val="24"/>
              </w:rPr>
            </w:pPr>
            <w:r>
              <w:rPr>
                <w:sz w:val="24"/>
              </w:rPr>
              <w:t>89</w:t>
            </w:r>
          </w:p>
        </w:tc>
        <w:tc>
          <w:tcPr>
            <w:tcW w:w="6141" w:type="dxa"/>
          </w:tcPr>
          <w:p>
            <w:pPr>
              <w:pStyle w:val="TableParagraph"/>
              <w:spacing w:before="65"/>
              <w:ind w:left="100"/>
              <w:rPr>
                <w:sz w:val="24"/>
              </w:rPr>
            </w:pPr>
            <w:r>
              <w:rPr>
                <w:sz w:val="24"/>
              </w:rPr>
              <w:t>Lavey GAA Club</w:t>
            </w:r>
          </w:p>
        </w:tc>
      </w:tr>
      <w:tr>
        <w:trPr>
          <w:trHeight w:val="340" w:hRule="atLeast"/>
        </w:trPr>
        <w:tc>
          <w:tcPr>
            <w:tcW w:w="960" w:type="dxa"/>
          </w:tcPr>
          <w:p>
            <w:pPr>
              <w:pStyle w:val="TableParagraph"/>
              <w:spacing w:before="65"/>
              <w:ind w:right="102"/>
              <w:jc w:val="right"/>
              <w:rPr>
                <w:sz w:val="24"/>
              </w:rPr>
            </w:pPr>
            <w:r>
              <w:rPr>
                <w:sz w:val="24"/>
              </w:rPr>
              <w:t>90</w:t>
            </w:r>
          </w:p>
        </w:tc>
        <w:tc>
          <w:tcPr>
            <w:tcW w:w="6141" w:type="dxa"/>
          </w:tcPr>
          <w:p>
            <w:pPr>
              <w:pStyle w:val="TableParagraph"/>
              <w:spacing w:before="65"/>
              <w:ind w:left="100"/>
              <w:rPr>
                <w:sz w:val="24"/>
              </w:rPr>
            </w:pPr>
            <w:r>
              <w:rPr>
                <w:sz w:val="24"/>
              </w:rPr>
              <w:t>Mac Nean Community Resources Ltd.</w:t>
            </w:r>
          </w:p>
        </w:tc>
      </w:tr>
      <w:tr>
        <w:trPr>
          <w:trHeight w:val="340" w:hRule="atLeast"/>
        </w:trPr>
        <w:tc>
          <w:tcPr>
            <w:tcW w:w="960" w:type="dxa"/>
          </w:tcPr>
          <w:p>
            <w:pPr>
              <w:pStyle w:val="TableParagraph"/>
              <w:spacing w:before="65"/>
              <w:ind w:right="102"/>
              <w:jc w:val="right"/>
              <w:rPr>
                <w:sz w:val="24"/>
              </w:rPr>
            </w:pPr>
            <w:r>
              <w:rPr>
                <w:sz w:val="24"/>
              </w:rPr>
              <w:t>91</w:t>
            </w:r>
          </w:p>
        </w:tc>
        <w:tc>
          <w:tcPr>
            <w:tcW w:w="6141" w:type="dxa"/>
          </w:tcPr>
          <w:p>
            <w:pPr>
              <w:pStyle w:val="TableParagraph"/>
              <w:spacing w:before="65"/>
              <w:ind w:left="100"/>
              <w:rPr>
                <w:sz w:val="24"/>
              </w:rPr>
            </w:pPr>
            <w:r>
              <w:rPr>
                <w:sz w:val="24"/>
              </w:rPr>
              <w:t>Maghera McFinns GAA Club</w:t>
            </w:r>
          </w:p>
        </w:tc>
      </w:tr>
      <w:tr>
        <w:trPr>
          <w:trHeight w:val="340" w:hRule="atLeast"/>
        </w:trPr>
        <w:tc>
          <w:tcPr>
            <w:tcW w:w="960" w:type="dxa"/>
          </w:tcPr>
          <w:p>
            <w:pPr>
              <w:pStyle w:val="TableParagraph"/>
              <w:spacing w:before="65"/>
              <w:ind w:right="102"/>
              <w:jc w:val="right"/>
              <w:rPr>
                <w:sz w:val="24"/>
              </w:rPr>
            </w:pPr>
            <w:r>
              <w:rPr>
                <w:sz w:val="24"/>
              </w:rPr>
              <w:t>92</w:t>
            </w:r>
          </w:p>
        </w:tc>
        <w:tc>
          <w:tcPr>
            <w:tcW w:w="6141" w:type="dxa"/>
          </w:tcPr>
          <w:p>
            <w:pPr>
              <w:pStyle w:val="TableParagraph"/>
              <w:spacing w:before="65"/>
              <w:ind w:left="100"/>
              <w:rPr>
                <w:sz w:val="24"/>
              </w:rPr>
            </w:pPr>
            <w:r>
              <w:rPr>
                <w:sz w:val="24"/>
              </w:rPr>
              <w:t>Martin Memorial Hall</w:t>
            </w:r>
          </w:p>
        </w:tc>
      </w:tr>
    </w:tbl>
    <w:p>
      <w:pPr>
        <w:spacing w:after="0"/>
        <w:rPr>
          <w:sz w:val="24"/>
        </w:rPr>
        <w:sectPr>
          <w:headerReference w:type="default" r:id="rId40"/>
          <w:footerReference w:type="default" r:id="rId41"/>
          <w:pgSz w:w="11910" w:h="17340"/>
          <w:pgMar w:header="759" w:footer="0" w:top="940" w:bottom="280" w:left="1440" w:right="1680"/>
        </w:sectPr>
      </w:pPr>
    </w:p>
    <w:p>
      <w:pPr>
        <w:pStyle w:val="BodyText"/>
        <w:spacing w:before="4" w:after="1"/>
        <w:rPr>
          <w:rFonts w:ascii="Times New Roman"/>
          <w:sz w:val="23"/>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6141"/>
      </w:tblGrid>
      <w:tr>
        <w:trPr>
          <w:trHeight w:val="340" w:hRule="atLeast"/>
        </w:trPr>
        <w:tc>
          <w:tcPr>
            <w:tcW w:w="960" w:type="dxa"/>
            <w:tcBorders>
              <w:top w:val="nil"/>
            </w:tcBorders>
          </w:tcPr>
          <w:p>
            <w:pPr>
              <w:pStyle w:val="TableParagraph"/>
              <w:spacing w:before="63"/>
              <w:ind w:right="102"/>
              <w:jc w:val="right"/>
              <w:rPr>
                <w:sz w:val="24"/>
              </w:rPr>
            </w:pPr>
            <w:r>
              <w:rPr>
                <w:sz w:val="24"/>
              </w:rPr>
              <w:t>93</w:t>
            </w:r>
          </w:p>
        </w:tc>
        <w:tc>
          <w:tcPr>
            <w:tcW w:w="6141" w:type="dxa"/>
            <w:tcBorders>
              <w:top w:val="nil"/>
            </w:tcBorders>
          </w:tcPr>
          <w:p>
            <w:pPr>
              <w:pStyle w:val="TableParagraph"/>
              <w:spacing w:before="63"/>
              <w:ind w:left="100"/>
              <w:rPr>
                <w:sz w:val="24"/>
              </w:rPr>
            </w:pPr>
            <w:r>
              <w:rPr>
                <w:sz w:val="24"/>
              </w:rPr>
              <w:t>Matt Talbot Hall</w:t>
            </w:r>
          </w:p>
        </w:tc>
      </w:tr>
      <w:tr>
        <w:trPr>
          <w:trHeight w:val="340" w:hRule="atLeast"/>
        </w:trPr>
        <w:tc>
          <w:tcPr>
            <w:tcW w:w="960" w:type="dxa"/>
          </w:tcPr>
          <w:p>
            <w:pPr>
              <w:pStyle w:val="TableParagraph"/>
              <w:spacing w:before="65"/>
              <w:ind w:right="102"/>
              <w:jc w:val="right"/>
              <w:rPr>
                <w:sz w:val="24"/>
              </w:rPr>
            </w:pPr>
            <w:r>
              <w:rPr>
                <w:sz w:val="24"/>
              </w:rPr>
              <w:t>94</w:t>
            </w:r>
          </w:p>
        </w:tc>
        <w:tc>
          <w:tcPr>
            <w:tcW w:w="6141" w:type="dxa"/>
          </w:tcPr>
          <w:p>
            <w:pPr>
              <w:pStyle w:val="TableParagraph"/>
              <w:spacing w:before="65"/>
              <w:ind w:left="100"/>
              <w:rPr>
                <w:sz w:val="24"/>
              </w:rPr>
            </w:pPr>
            <w:r>
              <w:rPr>
                <w:sz w:val="24"/>
              </w:rPr>
              <w:t>Mountnugent Community Centre</w:t>
            </w:r>
          </w:p>
        </w:tc>
      </w:tr>
      <w:tr>
        <w:trPr>
          <w:trHeight w:val="340" w:hRule="atLeast"/>
        </w:trPr>
        <w:tc>
          <w:tcPr>
            <w:tcW w:w="960" w:type="dxa"/>
          </w:tcPr>
          <w:p>
            <w:pPr>
              <w:pStyle w:val="TableParagraph"/>
              <w:spacing w:before="65"/>
              <w:ind w:right="102"/>
              <w:jc w:val="right"/>
              <w:rPr>
                <w:sz w:val="24"/>
              </w:rPr>
            </w:pPr>
            <w:r>
              <w:rPr>
                <w:sz w:val="24"/>
              </w:rPr>
              <w:t>95</w:t>
            </w:r>
          </w:p>
        </w:tc>
        <w:tc>
          <w:tcPr>
            <w:tcW w:w="6141" w:type="dxa"/>
          </w:tcPr>
          <w:p>
            <w:pPr>
              <w:pStyle w:val="TableParagraph"/>
              <w:spacing w:before="65"/>
              <w:ind w:left="100"/>
              <w:rPr>
                <w:sz w:val="24"/>
              </w:rPr>
            </w:pPr>
            <w:r>
              <w:rPr>
                <w:sz w:val="24"/>
              </w:rPr>
              <w:t>Mullagh Hall</w:t>
            </w:r>
          </w:p>
        </w:tc>
      </w:tr>
      <w:tr>
        <w:trPr>
          <w:trHeight w:val="340" w:hRule="atLeast"/>
        </w:trPr>
        <w:tc>
          <w:tcPr>
            <w:tcW w:w="960" w:type="dxa"/>
          </w:tcPr>
          <w:p>
            <w:pPr>
              <w:pStyle w:val="TableParagraph"/>
              <w:spacing w:before="65"/>
              <w:ind w:right="102"/>
              <w:jc w:val="right"/>
              <w:rPr>
                <w:sz w:val="24"/>
              </w:rPr>
            </w:pPr>
            <w:r>
              <w:rPr>
                <w:sz w:val="24"/>
              </w:rPr>
              <w:t>96</w:t>
            </w:r>
          </w:p>
        </w:tc>
        <w:tc>
          <w:tcPr>
            <w:tcW w:w="6141" w:type="dxa"/>
          </w:tcPr>
          <w:p>
            <w:pPr>
              <w:pStyle w:val="TableParagraph"/>
              <w:spacing w:before="65"/>
              <w:ind w:left="100"/>
              <w:rPr>
                <w:sz w:val="24"/>
              </w:rPr>
            </w:pPr>
            <w:r>
              <w:rPr>
                <w:sz w:val="24"/>
              </w:rPr>
              <w:t>Mullagh Sports Centre</w:t>
            </w:r>
          </w:p>
        </w:tc>
      </w:tr>
      <w:tr>
        <w:trPr>
          <w:trHeight w:val="340" w:hRule="atLeast"/>
        </w:trPr>
        <w:tc>
          <w:tcPr>
            <w:tcW w:w="960" w:type="dxa"/>
          </w:tcPr>
          <w:p>
            <w:pPr>
              <w:pStyle w:val="TableParagraph"/>
              <w:spacing w:before="65"/>
              <w:ind w:right="102"/>
              <w:jc w:val="right"/>
              <w:rPr>
                <w:sz w:val="24"/>
              </w:rPr>
            </w:pPr>
            <w:r>
              <w:rPr>
                <w:sz w:val="24"/>
              </w:rPr>
              <w:t>97</w:t>
            </w:r>
          </w:p>
        </w:tc>
        <w:tc>
          <w:tcPr>
            <w:tcW w:w="6141" w:type="dxa"/>
          </w:tcPr>
          <w:p>
            <w:pPr>
              <w:pStyle w:val="TableParagraph"/>
              <w:spacing w:before="65"/>
              <w:ind w:left="100"/>
              <w:rPr>
                <w:sz w:val="24"/>
              </w:rPr>
            </w:pPr>
            <w:r>
              <w:rPr>
                <w:sz w:val="24"/>
              </w:rPr>
              <w:t>Mullahoran GAA Club</w:t>
            </w:r>
          </w:p>
        </w:tc>
      </w:tr>
      <w:tr>
        <w:trPr>
          <w:trHeight w:val="340" w:hRule="atLeast"/>
        </w:trPr>
        <w:tc>
          <w:tcPr>
            <w:tcW w:w="960" w:type="dxa"/>
          </w:tcPr>
          <w:p>
            <w:pPr>
              <w:pStyle w:val="TableParagraph"/>
              <w:spacing w:before="65"/>
              <w:ind w:right="102"/>
              <w:jc w:val="right"/>
              <w:rPr>
                <w:sz w:val="24"/>
              </w:rPr>
            </w:pPr>
            <w:r>
              <w:rPr>
                <w:sz w:val="24"/>
              </w:rPr>
              <w:t>98</w:t>
            </w:r>
          </w:p>
        </w:tc>
        <w:tc>
          <w:tcPr>
            <w:tcW w:w="6141" w:type="dxa"/>
          </w:tcPr>
          <w:p>
            <w:pPr>
              <w:pStyle w:val="TableParagraph"/>
              <w:spacing w:before="65"/>
              <w:ind w:left="100"/>
              <w:rPr>
                <w:sz w:val="24"/>
              </w:rPr>
            </w:pPr>
            <w:r>
              <w:rPr>
                <w:sz w:val="24"/>
              </w:rPr>
              <w:t>O'Raghilly Hall</w:t>
            </w:r>
          </w:p>
        </w:tc>
      </w:tr>
      <w:tr>
        <w:trPr>
          <w:trHeight w:val="340" w:hRule="atLeast"/>
        </w:trPr>
        <w:tc>
          <w:tcPr>
            <w:tcW w:w="960" w:type="dxa"/>
          </w:tcPr>
          <w:p>
            <w:pPr>
              <w:pStyle w:val="TableParagraph"/>
              <w:spacing w:before="65"/>
              <w:ind w:right="102"/>
              <w:jc w:val="right"/>
              <w:rPr>
                <w:sz w:val="24"/>
              </w:rPr>
            </w:pPr>
            <w:r>
              <w:rPr>
                <w:sz w:val="24"/>
              </w:rPr>
              <w:t>99</w:t>
            </w:r>
          </w:p>
        </w:tc>
        <w:tc>
          <w:tcPr>
            <w:tcW w:w="6141" w:type="dxa"/>
          </w:tcPr>
          <w:p>
            <w:pPr>
              <w:pStyle w:val="TableParagraph"/>
              <w:spacing w:before="65"/>
              <w:ind w:left="100"/>
              <w:rPr>
                <w:sz w:val="24"/>
              </w:rPr>
            </w:pPr>
            <w:r>
              <w:rPr>
                <w:sz w:val="24"/>
              </w:rPr>
              <w:t>Portlongfield Orange</w:t>
            </w:r>
            <w:r>
              <w:rPr>
                <w:spacing w:val="60"/>
                <w:sz w:val="24"/>
              </w:rPr>
              <w:t> </w:t>
            </w:r>
            <w:r>
              <w:rPr>
                <w:sz w:val="24"/>
              </w:rPr>
              <w:t>Hall</w:t>
            </w:r>
          </w:p>
        </w:tc>
      </w:tr>
      <w:tr>
        <w:trPr>
          <w:trHeight w:val="340" w:hRule="atLeast"/>
        </w:trPr>
        <w:tc>
          <w:tcPr>
            <w:tcW w:w="960" w:type="dxa"/>
          </w:tcPr>
          <w:p>
            <w:pPr>
              <w:pStyle w:val="TableParagraph"/>
              <w:spacing w:before="65"/>
              <w:ind w:right="102"/>
              <w:jc w:val="right"/>
              <w:rPr>
                <w:sz w:val="24"/>
              </w:rPr>
            </w:pPr>
            <w:r>
              <w:rPr>
                <w:w w:val="95"/>
                <w:sz w:val="24"/>
              </w:rPr>
              <w:t>100</w:t>
            </w:r>
          </w:p>
        </w:tc>
        <w:tc>
          <w:tcPr>
            <w:tcW w:w="6141" w:type="dxa"/>
          </w:tcPr>
          <w:p>
            <w:pPr>
              <w:pStyle w:val="TableParagraph"/>
              <w:spacing w:before="65"/>
              <w:ind w:left="100"/>
              <w:rPr>
                <w:sz w:val="24"/>
              </w:rPr>
            </w:pPr>
            <w:r>
              <w:rPr>
                <w:sz w:val="24"/>
              </w:rPr>
              <w:t>Realtog Centre</w:t>
            </w:r>
          </w:p>
        </w:tc>
      </w:tr>
      <w:tr>
        <w:trPr>
          <w:trHeight w:val="280" w:hRule="atLeast"/>
        </w:trPr>
        <w:tc>
          <w:tcPr>
            <w:tcW w:w="960" w:type="dxa"/>
          </w:tcPr>
          <w:p>
            <w:pPr>
              <w:pStyle w:val="TableParagraph"/>
              <w:spacing w:before="19"/>
              <w:ind w:right="102"/>
              <w:jc w:val="right"/>
              <w:rPr>
                <w:sz w:val="24"/>
              </w:rPr>
            </w:pPr>
            <w:r>
              <w:rPr>
                <w:w w:val="95"/>
                <w:sz w:val="24"/>
              </w:rPr>
              <w:t>101</w:t>
            </w:r>
          </w:p>
        </w:tc>
        <w:tc>
          <w:tcPr>
            <w:tcW w:w="6141" w:type="dxa"/>
          </w:tcPr>
          <w:p>
            <w:pPr>
              <w:pStyle w:val="TableParagraph"/>
              <w:spacing w:before="19"/>
              <w:ind w:left="100"/>
              <w:rPr>
                <w:sz w:val="24"/>
              </w:rPr>
            </w:pPr>
            <w:r>
              <w:rPr>
                <w:sz w:val="24"/>
              </w:rPr>
              <w:t>Redhills GAA Club</w:t>
            </w:r>
          </w:p>
        </w:tc>
      </w:tr>
      <w:tr>
        <w:trPr>
          <w:trHeight w:val="280" w:hRule="atLeast"/>
        </w:trPr>
        <w:tc>
          <w:tcPr>
            <w:tcW w:w="960" w:type="dxa"/>
          </w:tcPr>
          <w:p>
            <w:pPr>
              <w:pStyle w:val="TableParagraph"/>
              <w:spacing w:before="19"/>
              <w:ind w:right="102"/>
              <w:jc w:val="right"/>
              <w:rPr>
                <w:sz w:val="24"/>
              </w:rPr>
            </w:pPr>
            <w:r>
              <w:rPr>
                <w:w w:val="95"/>
                <w:sz w:val="24"/>
              </w:rPr>
              <w:t>102</w:t>
            </w:r>
          </w:p>
        </w:tc>
        <w:tc>
          <w:tcPr>
            <w:tcW w:w="6141" w:type="dxa"/>
          </w:tcPr>
          <w:p>
            <w:pPr>
              <w:pStyle w:val="TableParagraph"/>
              <w:spacing w:before="19"/>
              <w:ind w:left="100"/>
              <w:rPr>
                <w:sz w:val="24"/>
              </w:rPr>
            </w:pPr>
            <w:r>
              <w:rPr>
                <w:sz w:val="24"/>
              </w:rPr>
              <w:t>SOSAD</w:t>
            </w:r>
          </w:p>
        </w:tc>
      </w:tr>
      <w:tr>
        <w:trPr>
          <w:trHeight w:val="540" w:hRule="atLeast"/>
        </w:trPr>
        <w:tc>
          <w:tcPr>
            <w:tcW w:w="960" w:type="dxa"/>
          </w:tcPr>
          <w:p>
            <w:pPr>
              <w:pStyle w:val="TableParagraph"/>
              <w:spacing w:line="240" w:lineRule="auto" w:before="7"/>
              <w:rPr>
                <w:rFonts w:ascii="Times New Roman"/>
                <w:sz w:val="23"/>
              </w:rPr>
            </w:pPr>
          </w:p>
          <w:p>
            <w:pPr>
              <w:pStyle w:val="TableParagraph"/>
              <w:ind w:right="102"/>
              <w:jc w:val="right"/>
              <w:rPr>
                <w:sz w:val="24"/>
              </w:rPr>
            </w:pPr>
            <w:r>
              <w:rPr>
                <w:w w:val="95"/>
                <w:sz w:val="24"/>
              </w:rPr>
              <w:t>103</w:t>
            </w:r>
          </w:p>
        </w:tc>
        <w:tc>
          <w:tcPr>
            <w:tcW w:w="6141" w:type="dxa"/>
          </w:tcPr>
          <w:p>
            <w:pPr>
              <w:pStyle w:val="TableParagraph"/>
              <w:spacing w:line="276" w:lineRule="exact"/>
              <w:ind w:left="100" w:right="536"/>
              <w:rPr>
                <w:sz w:val="24"/>
              </w:rPr>
            </w:pPr>
            <w:r>
              <w:rPr>
                <w:sz w:val="24"/>
              </w:rPr>
              <w:t>St.Bridget's Community Centre (Gowna Community Hall)</w:t>
            </w:r>
          </w:p>
        </w:tc>
      </w:tr>
      <w:tr>
        <w:trPr>
          <w:trHeight w:val="339" w:hRule="atLeast"/>
        </w:trPr>
        <w:tc>
          <w:tcPr>
            <w:tcW w:w="960" w:type="dxa"/>
          </w:tcPr>
          <w:p>
            <w:pPr>
              <w:pStyle w:val="TableParagraph"/>
              <w:spacing w:before="64"/>
              <w:ind w:right="102"/>
              <w:jc w:val="right"/>
              <w:rPr>
                <w:sz w:val="24"/>
              </w:rPr>
            </w:pPr>
            <w:r>
              <w:rPr>
                <w:w w:val="95"/>
                <w:sz w:val="24"/>
              </w:rPr>
              <w:t>104</w:t>
            </w:r>
          </w:p>
        </w:tc>
        <w:tc>
          <w:tcPr>
            <w:tcW w:w="6141" w:type="dxa"/>
          </w:tcPr>
          <w:p>
            <w:pPr>
              <w:pStyle w:val="TableParagraph"/>
              <w:spacing w:before="64"/>
              <w:ind w:left="100"/>
              <w:rPr>
                <w:sz w:val="24"/>
              </w:rPr>
            </w:pPr>
            <w:r>
              <w:rPr>
                <w:sz w:val="24"/>
              </w:rPr>
              <w:t>St.Kilian's Heritage Centre</w:t>
            </w:r>
          </w:p>
        </w:tc>
      </w:tr>
      <w:tr>
        <w:trPr>
          <w:trHeight w:val="280" w:hRule="atLeast"/>
        </w:trPr>
        <w:tc>
          <w:tcPr>
            <w:tcW w:w="960" w:type="dxa"/>
          </w:tcPr>
          <w:p>
            <w:pPr>
              <w:pStyle w:val="TableParagraph"/>
              <w:spacing w:before="19"/>
              <w:ind w:right="102"/>
              <w:jc w:val="right"/>
              <w:rPr>
                <w:sz w:val="24"/>
              </w:rPr>
            </w:pPr>
            <w:r>
              <w:rPr>
                <w:w w:val="95"/>
                <w:sz w:val="24"/>
              </w:rPr>
              <w:t>105</w:t>
            </w:r>
          </w:p>
        </w:tc>
        <w:tc>
          <w:tcPr>
            <w:tcW w:w="6141" w:type="dxa"/>
          </w:tcPr>
          <w:p>
            <w:pPr>
              <w:pStyle w:val="TableParagraph"/>
              <w:spacing w:before="19"/>
              <w:ind w:left="100"/>
              <w:rPr>
                <w:sz w:val="24"/>
              </w:rPr>
            </w:pPr>
            <w:r>
              <w:rPr>
                <w:sz w:val="24"/>
              </w:rPr>
              <w:t>St.Mary's Brass and Reed Band</w:t>
            </w:r>
          </w:p>
        </w:tc>
      </w:tr>
      <w:tr>
        <w:trPr>
          <w:trHeight w:val="300" w:hRule="atLeast"/>
        </w:trPr>
        <w:tc>
          <w:tcPr>
            <w:tcW w:w="960" w:type="dxa"/>
          </w:tcPr>
          <w:p>
            <w:pPr>
              <w:pStyle w:val="TableParagraph"/>
              <w:spacing w:before="22"/>
              <w:ind w:right="102"/>
              <w:jc w:val="right"/>
              <w:rPr>
                <w:sz w:val="24"/>
              </w:rPr>
            </w:pPr>
            <w:r>
              <w:rPr>
                <w:w w:val="95"/>
                <w:sz w:val="24"/>
              </w:rPr>
              <w:t>106</w:t>
            </w:r>
          </w:p>
        </w:tc>
        <w:tc>
          <w:tcPr>
            <w:tcW w:w="6141" w:type="dxa"/>
          </w:tcPr>
          <w:p>
            <w:pPr>
              <w:pStyle w:val="TableParagraph"/>
              <w:spacing w:before="22"/>
              <w:ind w:left="100"/>
              <w:rPr>
                <w:sz w:val="24"/>
              </w:rPr>
            </w:pPr>
            <w:r>
              <w:rPr>
                <w:sz w:val="24"/>
              </w:rPr>
              <w:t>St.Mary's Hall</w:t>
            </w:r>
          </w:p>
        </w:tc>
      </w:tr>
      <w:tr>
        <w:trPr>
          <w:trHeight w:val="340" w:hRule="atLeast"/>
        </w:trPr>
        <w:tc>
          <w:tcPr>
            <w:tcW w:w="960" w:type="dxa"/>
          </w:tcPr>
          <w:p>
            <w:pPr>
              <w:pStyle w:val="TableParagraph"/>
              <w:spacing w:before="62"/>
              <w:ind w:right="102"/>
              <w:jc w:val="right"/>
              <w:rPr>
                <w:sz w:val="24"/>
              </w:rPr>
            </w:pPr>
            <w:r>
              <w:rPr>
                <w:w w:val="95"/>
                <w:sz w:val="24"/>
              </w:rPr>
              <w:t>107</w:t>
            </w:r>
          </w:p>
        </w:tc>
        <w:tc>
          <w:tcPr>
            <w:tcW w:w="6141" w:type="dxa"/>
          </w:tcPr>
          <w:p>
            <w:pPr>
              <w:pStyle w:val="TableParagraph"/>
              <w:spacing w:before="62"/>
              <w:ind w:left="100"/>
              <w:rPr>
                <w:sz w:val="24"/>
              </w:rPr>
            </w:pPr>
            <w:r>
              <w:rPr>
                <w:sz w:val="24"/>
              </w:rPr>
              <w:t>St.Matthews Park</w:t>
            </w:r>
          </w:p>
        </w:tc>
      </w:tr>
      <w:tr>
        <w:trPr>
          <w:trHeight w:val="340" w:hRule="atLeast"/>
        </w:trPr>
        <w:tc>
          <w:tcPr>
            <w:tcW w:w="960" w:type="dxa"/>
          </w:tcPr>
          <w:p>
            <w:pPr>
              <w:pStyle w:val="TableParagraph"/>
              <w:spacing w:before="65"/>
              <w:ind w:right="102"/>
              <w:jc w:val="right"/>
              <w:rPr>
                <w:sz w:val="24"/>
              </w:rPr>
            </w:pPr>
            <w:r>
              <w:rPr>
                <w:w w:val="95"/>
                <w:sz w:val="24"/>
              </w:rPr>
              <w:t>108</w:t>
            </w:r>
          </w:p>
        </w:tc>
        <w:tc>
          <w:tcPr>
            <w:tcW w:w="6141" w:type="dxa"/>
          </w:tcPr>
          <w:p>
            <w:pPr>
              <w:pStyle w:val="TableParagraph"/>
              <w:spacing w:before="65"/>
              <w:ind w:left="100"/>
              <w:rPr>
                <w:sz w:val="24"/>
              </w:rPr>
            </w:pPr>
            <w:r>
              <w:rPr>
                <w:sz w:val="24"/>
              </w:rPr>
              <w:t>St.Michael's Hall</w:t>
            </w:r>
          </w:p>
        </w:tc>
      </w:tr>
      <w:tr>
        <w:trPr>
          <w:trHeight w:val="300" w:hRule="atLeast"/>
        </w:trPr>
        <w:tc>
          <w:tcPr>
            <w:tcW w:w="960" w:type="dxa"/>
          </w:tcPr>
          <w:p>
            <w:pPr>
              <w:pStyle w:val="TableParagraph"/>
              <w:spacing w:before="22"/>
              <w:ind w:right="102"/>
              <w:jc w:val="right"/>
              <w:rPr>
                <w:sz w:val="24"/>
              </w:rPr>
            </w:pPr>
            <w:r>
              <w:rPr>
                <w:w w:val="95"/>
                <w:sz w:val="24"/>
              </w:rPr>
              <w:t>109</w:t>
            </w:r>
          </w:p>
        </w:tc>
        <w:tc>
          <w:tcPr>
            <w:tcW w:w="6141" w:type="dxa"/>
          </w:tcPr>
          <w:p>
            <w:pPr>
              <w:pStyle w:val="TableParagraph"/>
              <w:spacing w:before="22"/>
              <w:ind w:left="100"/>
              <w:rPr>
                <w:sz w:val="24"/>
              </w:rPr>
            </w:pPr>
            <w:r>
              <w:rPr>
                <w:sz w:val="24"/>
              </w:rPr>
              <w:t>St.Patrick's Community Centre Glangevlin</w:t>
            </w:r>
          </w:p>
        </w:tc>
      </w:tr>
      <w:tr>
        <w:trPr>
          <w:trHeight w:val="280" w:hRule="atLeast"/>
        </w:trPr>
        <w:tc>
          <w:tcPr>
            <w:tcW w:w="960" w:type="dxa"/>
          </w:tcPr>
          <w:p>
            <w:pPr>
              <w:pStyle w:val="TableParagraph"/>
              <w:spacing w:before="19"/>
              <w:ind w:right="102"/>
              <w:jc w:val="right"/>
              <w:rPr>
                <w:sz w:val="24"/>
              </w:rPr>
            </w:pPr>
            <w:r>
              <w:rPr>
                <w:w w:val="95"/>
                <w:sz w:val="24"/>
              </w:rPr>
              <w:t>110</w:t>
            </w:r>
          </w:p>
        </w:tc>
        <w:tc>
          <w:tcPr>
            <w:tcW w:w="6141" w:type="dxa"/>
          </w:tcPr>
          <w:p>
            <w:pPr>
              <w:pStyle w:val="TableParagraph"/>
              <w:spacing w:before="19"/>
              <w:ind w:left="100"/>
              <w:rPr>
                <w:sz w:val="24"/>
              </w:rPr>
            </w:pPr>
            <w:r>
              <w:rPr>
                <w:sz w:val="24"/>
              </w:rPr>
              <w:t>St.Patricks Hall-Shercoco</w:t>
            </w:r>
          </w:p>
        </w:tc>
      </w:tr>
      <w:tr>
        <w:trPr>
          <w:trHeight w:val="280" w:hRule="atLeast"/>
        </w:trPr>
        <w:tc>
          <w:tcPr>
            <w:tcW w:w="960" w:type="dxa"/>
          </w:tcPr>
          <w:p>
            <w:pPr>
              <w:pStyle w:val="TableParagraph"/>
              <w:spacing w:before="19"/>
              <w:ind w:right="102"/>
              <w:jc w:val="right"/>
              <w:rPr>
                <w:sz w:val="24"/>
              </w:rPr>
            </w:pPr>
            <w:r>
              <w:rPr>
                <w:w w:val="95"/>
                <w:sz w:val="24"/>
              </w:rPr>
              <w:t>111</w:t>
            </w:r>
          </w:p>
        </w:tc>
        <w:tc>
          <w:tcPr>
            <w:tcW w:w="6141" w:type="dxa"/>
          </w:tcPr>
          <w:p>
            <w:pPr>
              <w:pStyle w:val="TableParagraph"/>
              <w:spacing w:before="19"/>
              <w:ind w:left="100"/>
              <w:rPr>
                <w:sz w:val="24"/>
              </w:rPr>
            </w:pPr>
            <w:r>
              <w:rPr>
                <w:sz w:val="24"/>
              </w:rPr>
              <w:t>St.Patrick's Hall-Arvagh</w:t>
            </w:r>
          </w:p>
        </w:tc>
      </w:tr>
      <w:tr>
        <w:trPr>
          <w:trHeight w:val="300" w:hRule="atLeast"/>
        </w:trPr>
        <w:tc>
          <w:tcPr>
            <w:tcW w:w="960" w:type="dxa"/>
          </w:tcPr>
          <w:p>
            <w:pPr>
              <w:pStyle w:val="TableParagraph"/>
              <w:spacing w:before="20"/>
              <w:ind w:right="102"/>
              <w:jc w:val="right"/>
              <w:rPr>
                <w:sz w:val="24"/>
              </w:rPr>
            </w:pPr>
            <w:r>
              <w:rPr>
                <w:w w:val="95"/>
                <w:sz w:val="24"/>
              </w:rPr>
              <w:t>112</w:t>
            </w:r>
          </w:p>
        </w:tc>
        <w:tc>
          <w:tcPr>
            <w:tcW w:w="6141" w:type="dxa"/>
          </w:tcPr>
          <w:p>
            <w:pPr>
              <w:pStyle w:val="TableParagraph"/>
              <w:spacing w:before="20"/>
              <w:ind w:left="100"/>
              <w:rPr>
                <w:sz w:val="24"/>
              </w:rPr>
            </w:pPr>
            <w:r>
              <w:rPr>
                <w:sz w:val="24"/>
              </w:rPr>
              <w:t>Stonepark Hall</w:t>
            </w:r>
          </w:p>
        </w:tc>
      </w:tr>
      <w:tr>
        <w:trPr>
          <w:trHeight w:val="280" w:hRule="atLeast"/>
        </w:trPr>
        <w:tc>
          <w:tcPr>
            <w:tcW w:w="960" w:type="dxa"/>
          </w:tcPr>
          <w:p>
            <w:pPr>
              <w:pStyle w:val="TableParagraph"/>
              <w:spacing w:before="19"/>
              <w:ind w:right="102"/>
              <w:jc w:val="right"/>
              <w:rPr>
                <w:sz w:val="24"/>
              </w:rPr>
            </w:pPr>
            <w:r>
              <w:rPr>
                <w:w w:val="95"/>
                <w:sz w:val="24"/>
              </w:rPr>
              <w:t>113</w:t>
            </w:r>
          </w:p>
        </w:tc>
        <w:tc>
          <w:tcPr>
            <w:tcW w:w="6141" w:type="dxa"/>
          </w:tcPr>
          <w:p>
            <w:pPr>
              <w:pStyle w:val="TableParagraph"/>
              <w:spacing w:before="19"/>
              <w:ind w:left="100"/>
              <w:rPr>
                <w:sz w:val="24"/>
              </w:rPr>
            </w:pPr>
            <w:r>
              <w:rPr>
                <w:sz w:val="24"/>
              </w:rPr>
              <w:t>Stradone Community Centre</w:t>
            </w:r>
          </w:p>
        </w:tc>
      </w:tr>
      <w:tr>
        <w:trPr>
          <w:trHeight w:val="280" w:hRule="atLeast"/>
        </w:trPr>
        <w:tc>
          <w:tcPr>
            <w:tcW w:w="960" w:type="dxa"/>
          </w:tcPr>
          <w:p>
            <w:pPr>
              <w:pStyle w:val="TableParagraph"/>
              <w:spacing w:before="19"/>
              <w:ind w:right="102"/>
              <w:jc w:val="right"/>
              <w:rPr>
                <w:sz w:val="24"/>
              </w:rPr>
            </w:pPr>
            <w:r>
              <w:rPr>
                <w:w w:val="95"/>
                <w:sz w:val="24"/>
              </w:rPr>
              <w:t>114</w:t>
            </w:r>
          </w:p>
        </w:tc>
        <w:tc>
          <w:tcPr>
            <w:tcW w:w="6141" w:type="dxa"/>
          </w:tcPr>
          <w:p>
            <w:pPr>
              <w:pStyle w:val="TableParagraph"/>
              <w:spacing w:before="19"/>
              <w:ind w:left="100"/>
              <w:rPr>
                <w:sz w:val="24"/>
              </w:rPr>
            </w:pPr>
            <w:r>
              <w:rPr>
                <w:sz w:val="24"/>
              </w:rPr>
              <w:t>Swanlinbar Community Centre (Trivia House)</w:t>
            </w:r>
          </w:p>
        </w:tc>
      </w:tr>
      <w:tr>
        <w:trPr>
          <w:trHeight w:val="300" w:hRule="atLeast"/>
        </w:trPr>
        <w:tc>
          <w:tcPr>
            <w:tcW w:w="960" w:type="dxa"/>
          </w:tcPr>
          <w:p>
            <w:pPr>
              <w:pStyle w:val="TableParagraph"/>
              <w:spacing w:before="22"/>
              <w:ind w:right="102"/>
              <w:jc w:val="right"/>
              <w:rPr>
                <w:sz w:val="24"/>
              </w:rPr>
            </w:pPr>
            <w:r>
              <w:rPr>
                <w:w w:val="95"/>
                <w:sz w:val="24"/>
              </w:rPr>
              <w:t>115</w:t>
            </w:r>
          </w:p>
        </w:tc>
        <w:tc>
          <w:tcPr>
            <w:tcW w:w="6141" w:type="dxa"/>
          </w:tcPr>
          <w:p>
            <w:pPr>
              <w:pStyle w:val="TableParagraph"/>
              <w:spacing w:before="22"/>
              <w:ind w:left="100"/>
              <w:rPr>
                <w:sz w:val="24"/>
              </w:rPr>
            </w:pPr>
            <w:r>
              <w:rPr>
                <w:sz w:val="24"/>
              </w:rPr>
              <w:t>Swanlinbar St. Marys GAA Club</w:t>
            </w:r>
          </w:p>
        </w:tc>
      </w:tr>
      <w:tr>
        <w:trPr>
          <w:trHeight w:val="340" w:hRule="atLeast"/>
        </w:trPr>
        <w:tc>
          <w:tcPr>
            <w:tcW w:w="960" w:type="dxa"/>
          </w:tcPr>
          <w:p>
            <w:pPr>
              <w:pStyle w:val="TableParagraph"/>
              <w:spacing w:before="62"/>
              <w:ind w:right="102"/>
              <w:jc w:val="right"/>
              <w:rPr>
                <w:sz w:val="24"/>
              </w:rPr>
            </w:pPr>
            <w:r>
              <w:rPr>
                <w:w w:val="95"/>
                <w:sz w:val="24"/>
              </w:rPr>
              <w:t>116</w:t>
            </w:r>
          </w:p>
        </w:tc>
        <w:tc>
          <w:tcPr>
            <w:tcW w:w="6141" w:type="dxa"/>
          </w:tcPr>
          <w:p>
            <w:pPr>
              <w:pStyle w:val="TableParagraph"/>
              <w:spacing w:before="62"/>
              <w:ind w:left="100"/>
              <w:rPr>
                <w:sz w:val="24"/>
              </w:rPr>
            </w:pPr>
            <w:r>
              <w:rPr>
                <w:sz w:val="24"/>
              </w:rPr>
              <w:t>Templeport Community Centre</w:t>
            </w:r>
          </w:p>
        </w:tc>
      </w:tr>
      <w:tr>
        <w:trPr>
          <w:trHeight w:val="300" w:hRule="atLeast"/>
        </w:trPr>
        <w:tc>
          <w:tcPr>
            <w:tcW w:w="960" w:type="dxa"/>
          </w:tcPr>
          <w:p>
            <w:pPr>
              <w:pStyle w:val="TableParagraph"/>
              <w:spacing w:before="22"/>
              <w:ind w:right="102"/>
              <w:jc w:val="right"/>
              <w:rPr>
                <w:sz w:val="24"/>
              </w:rPr>
            </w:pPr>
            <w:r>
              <w:rPr>
                <w:w w:val="95"/>
                <w:sz w:val="24"/>
              </w:rPr>
              <w:t>117</w:t>
            </w:r>
          </w:p>
        </w:tc>
        <w:tc>
          <w:tcPr>
            <w:tcW w:w="6141" w:type="dxa"/>
          </w:tcPr>
          <w:p>
            <w:pPr>
              <w:pStyle w:val="TableParagraph"/>
              <w:spacing w:before="22"/>
              <w:ind w:left="100"/>
              <w:rPr>
                <w:sz w:val="24"/>
              </w:rPr>
            </w:pPr>
            <w:r>
              <w:rPr>
                <w:sz w:val="24"/>
              </w:rPr>
              <w:t>Templeport St. Aidens GAA Club</w:t>
            </w:r>
          </w:p>
        </w:tc>
      </w:tr>
      <w:tr>
        <w:trPr>
          <w:trHeight w:val="280" w:hRule="atLeast"/>
        </w:trPr>
        <w:tc>
          <w:tcPr>
            <w:tcW w:w="960" w:type="dxa"/>
          </w:tcPr>
          <w:p>
            <w:pPr>
              <w:pStyle w:val="TableParagraph"/>
              <w:spacing w:before="19"/>
              <w:ind w:right="102"/>
              <w:jc w:val="right"/>
              <w:rPr>
                <w:sz w:val="24"/>
              </w:rPr>
            </w:pPr>
            <w:r>
              <w:rPr>
                <w:w w:val="95"/>
                <w:sz w:val="24"/>
              </w:rPr>
              <w:t>118</w:t>
            </w:r>
          </w:p>
        </w:tc>
        <w:tc>
          <w:tcPr>
            <w:tcW w:w="6141" w:type="dxa"/>
          </w:tcPr>
          <w:p>
            <w:pPr>
              <w:pStyle w:val="TableParagraph"/>
              <w:spacing w:before="19"/>
              <w:ind w:left="100"/>
              <w:rPr>
                <w:sz w:val="24"/>
              </w:rPr>
            </w:pPr>
            <w:r>
              <w:rPr>
                <w:sz w:val="24"/>
              </w:rPr>
              <w:t>The Billis Meeting Hall</w:t>
            </w:r>
          </w:p>
        </w:tc>
      </w:tr>
      <w:tr>
        <w:trPr>
          <w:trHeight w:val="280" w:hRule="atLeast"/>
        </w:trPr>
        <w:tc>
          <w:tcPr>
            <w:tcW w:w="960" w:type="dxa"/>
          </w:tcPr>
          <w:p>
            <w:pPr>
              <w:pStyle w:val="TableParagraph"/>
              <w:spacing w:before="19"/>
              <w:ind w:right="102"/>
              <w:jc w:val="right"/>
              <w:rPr>
                <w:sz w:val="24"/>
              </w:rPr>
            </w:pPr>
            <w:r>
              <w:rPr>
                <w:w w:val="95"/>
                <w:sz w:val="24"/>
              </w:rPr>
              <w:t>119</w:t>
            </w:r>
          </w:p>
        </w:tc>
        <w:tc>
          <w:tcPr>
            <w:tcW w:w="6141" w:type="dxa"/>
          </w:tcPr>
          <w:p>
            <w:pPr>
              <w:pStyle w:val="TableParagraph"/>
              <w:spacing w:before="19"/>
              <w:ind w:left="100"/>
              <w:rPr>
                <w:sz w:val="24"/>
              </w:rPr>
            </w:pPr>
            <w:r>
              <w:rPr>
                <w:sz w:val="24"/>
              </w:rPr>
              <w:t>The Ozanam Centre</w:t>
            </w:r>
          </w:p>
        </w:tc>
      </w:tr>
      <w:tr>
        <w:trPr>
          <w:trHeight w:val="280" w:hRule="atLeast"/>
        </w:trPr>
        <w:tc>
          <w:tcPr>
            <w:tcW w:w="960" w:type="dxa"/>
          </w:tcPr>
          <w:p>
            <w:pPr>
              <w:pStyle w:val="TableParagraph"/>
              <w:spacing w:before="19"/>
              <w:ind w:right="102"/>
              <w:jc w:val="right"/>
              <w:rPr>
                <w:sz w:val="24"/>
              </w:rPr>
            </w:pPr>
            <w:r>
              <w:rPr>
                <w:w w:val="95"/>
                <w:sz w:val="24"/>
              </w:rPr>
              <w:t>120</w:t>
            </w:r>
          </w:p>
        </w:tc>
        <w:tc>
          <w:tcPr>
            <w:tcW w:w="6141" w:type="dxa"/>
          </w:tcPr>
          <w:p>
            <w:pPr>
              <w:pStyle w:val="TableParagraph"/>
              <w:spacing w:before="19"/>
              <w:ind w:left="100"/>
              <w:rPr>
                <w:sz w:val="24"/>
              </w:rPr>
            </w:pPr>
            <w:r>
              <w:rPr>
                <w:sz w:val="24"/>
              </w:rPr>
              <w:t>Belturbet Town Hall Civic Centre</w:t>
            </w:r>
          </w:p>
        </w:tc>
      </w:tr>
      <w:tr>
        <w:trPr>
          <w:trHeight w:val="280" w:hRule="atLeast"/>
        </w:trPr>
        <w:tc>
          <w:tcPr>
            <w:tcW w:w="960" w:type="dxa"/>
          </w:tcPr>
          <w:p>
            <w:pPr>
              <w:pStyle w:val="TableParagraph"/>
              <w:spacing w:before="19"/>
              <w:ind w:right="102"/>
              <w:jc w:val="right"/>
              <w:rPr>
                <w:sz w:val="24"/>
              </w:rPr>
            </w:pPr>
            <w:r>
              <w:rPr>
                <w:w w:val="95"/>
                <w:sz w:val="24"/>
              </w:rPr>
              <w:t>121</w:t>
            </w:r>
          </w:p>
        </w:tc>
        <w:tc>
          <w:tcPr>
            <w:tcW w:w="6141" w:type="dxa"/>
          </w:tcPr>
          <w:p>
            <w:pPr>
              <w:pStyle w:val="TableParagraph"/>
              <w:spacing w:before="19"/>
              <w:ind w:left="100"/>
              <w:rPr>
                <w:sz w:val="24"/>
              </w:rPr>
            </w:pPr>
            <w:r>
              <w:rPr>
                <w:sz w:val="24"/>
              </w:rPr>
              <w:t>Tullacmongan Resource Centre</w:t>
            </w:r>
          </w:p>
        </w:tc>
      </w:tr>
      <w:tr>
        <w:trPr>
          <w:trHeight w:val="300" w:hRule="atLeast"/>
        </w:trPr>
        <w:tc>
          <w:tcPr>
            <w:tcW w:w="960" w:type="dxa"/>
          </w:tcPr>
          <w:p>
            <w:pPr>
              <w:pStyle w:val="TableParagraph"/>
              <w:spacing w:before="20"/>
              <w:ind w:right="102"/>
              <w:jc w:val="right"/>
              <w:rPr>
                <w:sz w:val="24"/>
              </w:rPr>
            </w:pPr>
            <w:r>
              <w:rPr>
                <w:w w:val="95"/>
                <w:sz w:val="24"/>
              </w:rPr>
              <w:t>122</w:t>
            </w:r>
          </w:p>
        </w:tc>
        <w:tc>
          <w:tcPr>
            <w:tcW w:w="6141" w:type="dxa"/>
          </w:tcPr>
          <w:p>
            <w:pPr>
              <w:pStyle w:val="TableParagraph"/>
              <w:spacing w:before="20"/>
              <w:ind w:left="100"/>
              <w:rPr>
                <w:sz w:val="24"/>
              </w:rPr>
            </w:pPr>
            <w:r>
              <w:rPr>
                <w:sz w:val="24"/>
              </w:rPr>
              <w:t>Tullyvin Community Centre</w:t>
            </w:r>
          </w:p>
        </w:tc>
      </w:tr>
      <w:tr>
        <w:trPr>
          <w:trHeight w:val="300" w:hRule="atLeast"/>
        </w:trPr>
        <w:tc>
          <w:tcPr>
            <w:tcW w:w="960" w:type="dxa"/>
          </w:tcPr>
          <w:p>
            <w:pPr>
              <w:pStyle w:val="TableParagraph"/>
              <w:spacing w:before="22"/>
              <w:ind w:right="102"/>
              <w:jc w:val="right"/>
              <w:rPr>
                <w:sz w:val="24"/>
              </w:rPr>
            </w:pPr>
            <w:r>
              <w:rPr>
                <w:w w:val="95"/>
                <w:sz w:val="24"/>
              </w:rPr>
              <w:t>123</w:t>
            </w:r>
          </w:p>
        </w:tc>
        <w:tc>
          <w:tcPr>
            <w:tcW w:w="6141" w:type="dxa"/>
          </w:tcPr>
          <w:p>
            <w:pPr>
              <w:pStyle w:val="TableParagraph"/>
              <w:spacing w:before="22"/>
              <w:ind w:left="100"/>
              <w:rPr>
                <w:sz w:val="24"/>
              </w:rPr>
            </w:pPr>
            <w:r>
              <w:rPr>
                <w:sz w:val="24"/>
              </w:rPr>
              <w:t>Virginia Church of Ireland Hall</w:t>
            </w:r>
          </w:p>
        </w:tc>
      </w:tr>
      <w:tr>
        <w:trPr>
          <w:trHeight w:val="280" w:hRule="atLeast"/>
        </w:trPr>
        <w:tc>
          <w:tcPr>
            <w:tcW w:w="960" w:type="dxa"/>
          </w:tcPr>
          <w:p>
            <w:pPr>
              <w:pStyle w:val="TableParagraph"/>
              <w:spacing w:before="19"/>
              <w:ind w:right="102"/>
              <w:jc w:val="right"/>
              <w:rPr>
                <w:sz w:val="24"/>
              </w:rPr>
            </w:pPr>
            <w:r>
              <w:rPr>
                <w:w w:val="95"/>
                <w:sz w:val="24"/>
              </w:rPr>
              <w:t>124</w:t>
            </w:r>
          </w:p>
        </w:tc>
        <w:tc>
          <w:tcPr>
            <w:tcW w:w="6141" w:type="dxa"/>
          </w:tcPr>
          <w:p>
            <w:pPr>
              <w:pStyle w:val="TableParagraph"/>
              <w:spacing w:before="19"/>
              <w:ind w:left="100"/>
              <w:rPr>
                <w:sz w:val="24"/>
              </w:rPr>
            </w:pPr>
            <w:r>
              <w:rPr>
                <w:sz w:val="24"/>
              </w:rPr>
              <w:t>Virginia Rugby Football Club</w:t>
            </w:r>
          </w:p>
        </w:tc>
      </w:tr>
      <w:tr>
        <w:trPr>
          <w:trHeight w:val="280" w:hRule="atLeast"/>
        </w:trPr>
        <w:tc>
          <w:tcPr>
            <w:tcW w:w="960" w:type="dxa"/>
          </w:tcPr>
          <w:p>
            <w:pPr>
              <w:pStyle w:val="TableParagraph"/>
              <w:spacing w:before="19"/>
              <w:ind w:right="102"/>
              <w:jc w:val="right"/>
              <w:rPr>
                <w:sz w:val="24"/>
              </w:rPr>
            </w:pPr>
            <w:r>
              <w:rPr>
                <w:w w:val="95"/>
                <w:sz w:val="24"/>
              </w:rPr>
              <w:t>125</w:t>
            </w:r>
          </w:p>
        </w:tc>
        <w:tc>
          <w:tcPr>
            <w:tcW w:w="6141" w:type="dxa"/>
          </w:tcPr>
          <w:p>
            <w:pPr>
              <w:pStyle w:val="TableParagraph"/>
              <w:spacing w:before="19"/>
              <w:ind w:left="100"/>
              <w:rPr>
                <w:sz w:val="24"/>
              </w:rPr>
            </w:pPr>
            <w:r>
              <w:rPr>
                <w:sz w:val="24"/>
              </w:rPr>
              <w:t>Virginia Show Centre</w:t>
            </w:r>
          </w:p>
        </w:tc>
      </w:tr>
    </w:tbl>
    <w:p>
      <w:pPr>
        <w:spacing w:after="0"/>
        <w:rPr>
          <w:sz w:val="24"/>
        </w:rPr>
        <w:sectPr>
          <w:headerReference w:type="default" r:id="rId42"/>
          <w:footerReference w:type="default" r:id="rId43"/>
          <w:pgSz w:w="11910" w:h="17340"/>
          <w:pgMar w:header="759" w:footer="0" w:top="940" w:bottom="280" w:left="1440" w:right="1680"/>
        </w:sectPr>
      </w:pPr>
    </w:p>
    <w:p>
      <w:pPr>
        <w:pStyle w:val="BodyText"/>
        <w:spacing w:before="7"/>
        <w:rPr>
          <w:rFonts w:ascii="Times New Roman"/>
          <w:sz w:val="15"/>
        </w:rPr>
      </w:pPr>
    </w:p>
    <w:p>
      <w:pPr>
        <w:pStyle w:val="Heading3"/>
        <w:spacing w:before="92"/>
        <w:rPr>
          <w:u w:val="none"/>
        </w:rPr>
      </w:pPr>
      <w:r>
        <w:rPr>
          <w:u w:val="thick"/>
        </w:rPr>
        <w:t>Appendix 3: Community &amp; Sports Questionnaire</w:t>
      </w:r>
    </w:p>
    <w:p>
      <w:pPr>
        <w:pStyle w:val="BodyText"/>
        <w:rPr>
          <w:b/>
          <w:sz w:val="20"/>
        </w:rPr>
      </w:pPr>
    </w:p>
    <w:p>
      <w:pPr>
        <w:pStyle w:val="BodyText"/>
        <w:spacing w:before="7"/>
        <w:rPr>
          <w:b/>
          <w:sz w:val="25"/>
        </w:rPr>
      </w:pPr>
    </w:p>
    <w:p>
      <w:pPr>
        <w:pStyle w:val="Heading2"/>
        <w:ind w:left="110"/>
      </w:pPr>
      <w:r>
        <w:rPr/>
        <w:t>County Cavan Community &amp; Sports Facilities Survey 2016</w:t>
      </w:r>
    </w:p>
    <w:p>
      <w:pPr>
        <w:pStyle w:val="BodyText"/>
        <w:spacing w:before="10"/>
        <w:rPr>
          <w:b/>
          <w:sz w:val="42"/>
        </w:rPr>
      </w:pPr>
    </w:p>
    <w:p>
      <w:pPr>
        <w:spacing w:line="360" w:lineRule="auto" w:before="1"/>
        <w:ind w:left="110" w:right="976" w:firstLine="0"/>
        <w:jc w:val="left"/>
        <w:rPr>
          <w:sz w:val="22"/>
        </w:rPr>
      </w:pPr>
      <w:r>
        <w:rPr>
          <w:sz w:val="22"/>
        </w:rPr>
        <w:t>This survey is designed to collect information on all facilities which are available for communities to use within the county. To be included in this survey such facilities are to be run on a ‘not for profit’ basis only. Privately run facilities such as hotels or pubs will not be included within the survey. For the purpose of this survey, we will not be including schools either.</w:t>
      </w:r>
    </w:p>
    <w:p>
      <w:pPr>
        <w:pStyle w:val="BodyText"/>
      </w:pPr>
    </w:p>
    <w:p>
      <w:pPr>
        <w:pStyle w:val="BodyText"/>
        <w:rPr>
          <w:sz w:val="34"/>
        </w:rPr>
      </w:pPr>
    </w:p>
    <w:p>
      <w:pPr>
        <w:spacing w:line="360" w:lineRule="auto" w:before="1"/>
        <w:ind w:left="110" w:right="99" w:firstLine="0"/>
        <w:jc w:val="left"/>
        <w:rPr>
          <w:sz w:val="22"/>
        </w:rPr>
      </w:pPr>
      <w:r>
        <w:rPr>
          <w:sz w:val="22"/>
        </w:rPr>
        <w:t>Please complete and return this questionnaire by </w:t>
      </w:r>
      <w:r>
        <w:rPr>
          <w:b/>
          <w:sz w:val="22"/>
        </w:rPr>
        <w:t>Wednesday 9</w:t>
      </w:r>
      <w:r>
        <w:rPr>
          <w:b/>
          <w:position w:val="10"/>
          <w:sz w:val="14"/>
        </w:rPr>
        <w:t>th </w:t>
      </w:r>
      <w:r>
        <w:rPr>
          <w:b/>
          <w:sz w:val="22"/>
        </w:rPr>
        <w:t>November, 5pm. </w:t>
      </w:r>
      <w:r>
        <w:rPr>
          <w:sz w:val="22"/>
        </w:rPr>
        <w:t>The questionnaire can be completed and returned in the pre-paid stamped addressed envelope. Alternatively you can complete this survey on survey monkey at </w:t>
      </w:r>
      <w:hyperlink r:id="rId46">
        <w:r>
          <w:rPr>
            <w:color w:val="0000FF"/>
            <w:sz w:val="22"/>
            <w:u w:val="single" w:color="0000FF"/>
          </w:rPr>
          <w:t>www.surveymonkey.com/r/Community-Sports-Survey-Cavan</w:t>
        </w:r>
      </w:hyperlink>
      <w:r>
        <w:rPr>
          <w:color w:val="0000FF"/>
          <w:sz w:val="22"/>
        </w:rPr>
        <w:t> </w:t>
      </w:r>
      <w:r>
        <w:rPr>
          <w:sz w:val="22"/>
        </w:rPr>
        <w:t>or email </w:t>
      </w:r>
      <w:hyperlink r:id="rId47">
        <w:r>
          <w:rPr>
            <w:color w:val="0000FF"/>
            <w:sz w:val="22"/>
            <w:u w:val="single" w:color="0000FF"/>
          </w:rPr>
          <w:t>gboyle@cavancoco.ie</w:t>
        </w:r>
      </w:hyperlink>
      <w:r>
        <w:rPr>
          <w:sz w:val="22"/>
        </w:rPr>
        <w:t>. to receive a softcopy. All questionnaires returned by the deadline will be entered into a draw for</w:t>
      </w:r>
      <w:r>
        <w:rPr>
          <w:spacing w:val="-18"/>
          <w:sz w:val="22"/>
        </w:rPr>
        <w:t> </w:t>
      </w:r>
      <w:r>
        <w:rPr>
          <w:sz w:val="22"/>
        </w:rPr>
        <w:t>€250.</w:t>
      </w:r>
    </w:p>
    <w:p>
      <w:pPr>
        <w:spacing w:before="200"/>
        <w:ind w:left="2270" w:right="0" w:firstLine="0"/>
        <w:jc w:val="left"/>
        <w:rPr>
          <w:sz w:val="22"/>
        </w:rPr>
      </w:pPr>
      <w:r>
        <w:rPr>
          <w:b/>
          <w:sz w:val="22"/>
        </w:rPr>
        <w:t>Return to</w:t>
      </w:r>
      <w:r>
        <w:rPr>
          <w:sz w:val="22"/>
        </w:rPr>
        <w:t>: Gráinne Boyle</w:t>
      </w:r>
    </w:p>
    <w:p>
      <w:pPr>
        <w:spacing w:line="429" w:lineRule="auto" w:before="202"/>
        <w:ind w:left="3420" w:right="4184" w:firstLine="0"/>
        <w:jc w:val="left"/>
        <w:rPr>
          <w:sz w:val="22"/>
        </w:rPr>
      </w:pPr>
      <w:r>
        <w:rPr>
          <w:sz w:val="22"/>
        </w:rPr>
        <w:t>Community and Enterprise, Cavan County Council, Farnham Centre,</w:t>
      </w:r>
    </w:p>
    <w:p>
      <w:pPr>
        <w:spacing w:line="429" w:lineRule="auto" w:before="5"/>
        <w:ind w:left="3420" w:right="5639" w:firstLine="0"/>
        <w:jc w:val="left"/>
        <w:rPr>
          <w:sz w:val="22"/>
        </w:rPr>
      </w:pPr>
      <w:r>
        <w:rPr>
          <w:sz w:val="22"/>
        </w:rPr>
        <w:t>Farnham St. Cavan</w:t>
      </w:r>
    </w:p>
    <w:p>
      <w:pPr>
        <w:spacing w:before="5"/>
        <w:ind w:left="3420" w:right="0" w:firstLine="0"/>
        <w:jc w:val="left"/>
        <w:rPr>
          <w:sz w:val="22"/>
        </w:rPr>
      </w:pPr>
      <w:r>
        <w:rPr>
          <w:sz w:val="22"/>
        </w:rPr>
        <w:t>Co. Cavan</w:t>
      </w:r>
    </w:p>
    <w:p>
      <w:pPr>
        <w:pStyle w:val="BodyText"/>
        <w:rPr>
          <w:sz w:val="20"/>
        </w:rPr>
      </w:pPr>
    </w:p>
    <w:p>
      <w:pPr>
        <w:pStyle w:val="BodyText"/>
        <w:rPr>
          <w:sz w:val="20"/>
        </w:rPr>
      </w:pPr>
    </w:p>
    <w:p>
      <w:pPr>
        <w:pStyle w:val="BodyText"/>
        <w:spacing w:before="7"/>
        <w:rPr>
          <w:sz w:val="16"/>
        </w:rPr>
      </w:pPr>
      <w:r>
        <w:rPr/>
        <w:drawing>
          <wp:anchor distT="0" distB="0" distL="0" distR="0" allowOverlap="1" layoutInCell="1" locked="0" behindDoc="0" simplePos="0" relativeHeight="4432">
            <wp:simplePos x="0" y="0"/>
            <wp:positionH relativeFrom="page">
              <wp:posOffset>1015364</wp:posOffset>
            </wp:positionH>
            <wp:positionV relativeFrom="paragraph">
              <wp:posOffset>212879</wp:posOffset>
            </wp:positionV>
            <wp:extent cx="477119" cy="514540"/>
            <wp:effectExtent l="0" t="0" r="0" b="0"/>
            <wp:wrapTopAndBottom/>
            <wp:docPr id="25" name="image1.jpeg" descr=""/>
            <wp:cNvGraphicFramePr>
              <a:graphicFrameLocks noChangeAspect="1"/>
            </wp:cNvGraphicFramePr>
            <a:graphic>
              <a:graphicData uri="http://schemas.openxmlformats.org/drawingml/2006/picture">
                <pic:pic>
                  <pic:nvPicPr>
                    <pic:cNvPr id="26" name="image1.jpeg"/>
                    <pic:cNvPicPr/>
                  </pic:nvPicPr>
                  <pic:blipFill>
                    <a:blip r:embed="rId6" cstate="print"/>
                    <a:stretch>
                      <a:fillRect/>
                    </a:stretch>
                  </pic:blipFill>
                  <pic:spPr>
                    <a:xfrm>
                      <a:off x="0" y="0"/>
                      <a:ext cx="477119" cy="514540"/>
                    </a:xfrm>
                    <a:prstGeom prst="rect">
                      <a:avLst/>
                    </a:prstGeom>
                  </pic:spPr>
                </pic:pic>
              </a:graphicData>
            </a:graphic>
          </wp:anchor>
        </w:drawing>
      </w:r>
      <w:r>
        <w:rPr/>
        <w:drawing>
          <wp:anchor distT="0" distB="0" distL="0" distR="0" allowOverlap="1" layoutInCell="1" locked="0" behindDoc="0" simplePos="0" relativeHeight="4456">
            <wp:simplePos x="0" y="0"/>
            <wp:positionH relativeFrom="page">
              <wp:posOffset>5587365</wp:posOffset>
            </wp:positionH>
            <wp:positionV relativeFrom="paragraph">
              <wp:posOffset>146331</wp:posOffset>
            </wp:positionV>
            <wp:extent cx="844434" cy="581596"/>
            <wp:effectExtent l="0" t="0" r="0" b="0"/>
            <wp:wrapTopAndBottom/>
            <wp:docPr id="27" name="image2.jpeg" descr=""/>
            <wp:cNvGraphicFramePr>
              <a:graphicFrameLocks noChangeAspect="1"/>
            </wp:cNvGraphicFramePr>
            <a:graphic>
              <a:graphicData uri="http://schemas.openxmlformats.org/drawingml/2006/picture">
                <pic:pic>
                  <pic:nvPicPr>
                    <pic:cNvPr id="28" name="image2.jpeg"/>
                    <pic:cNvPicPr/>
                  </pic:nvPicPr>
                  <pic:blipFill>
                    <a:blip r:embed="rId7" cstate="print"/>
                    <a:stretch>
                      <a:fillRect/>
                    </a:stretch>
                  </pic:blipFill>
                  <pic:spPr>
                    <a:xfrm>
                      <a:off x="0" y="0"/>
                      <a:ext cx="844434" cy="581596"/>
                    </a:xfrm>
                    <a:prstGeom prst="rect">
                      <a:avLst/>
                    </a:prstGeom>
                  </pic:spPr>
                </pic:pic>
              </a:graphicData>
            </a:graphic>
          </wp:anchor>
        </w:drawing>
      </w:r>
    </w:p>
    <w:p>
      <w:pPr>
        <w:spacing w:after="0"/>
        <w:rPr>
          <w:sz w:val="16"/>
        </w:rPr>
        <w:sectPr>
          <w:headerReference w:type="default" r:id="rId44"/>
          <w:footerReference w:type="default" r:id="rId45"/>
          <w:pgSz w:w="11910" w:h="17340"/>
          <w:pgMar w:header="759" w:footer="0" w:top="940" w:bottom="280" w:left="1460" w:right="160"/>
        </w:sectPr>
      </w:pPr>
    </w:p>
    <w:p>
      <w:pPr>
        <w:pStyle w:val="BodyText"/>
        <w:spacing w:before="7"/>
        <w:rPr>
          <w:sz w:val="15"/>
        </w:rPr>
      </w:pPr>
    </w:p>
    <w:p>
      <w:pPr>
        <w:spacing w:before="88"/>
        <w:ind w:left="2493" w:right="0" w:firstLine="0"/>
        <w:jc w:val="left"/>
        <w:rPr>
          <w:b/>
          <w:sz w:val="36"/>
        </w:rPr>
      </w:pPr>
      <w:r>
        <w:rPr>
          <w:b/>
          <w:sz w:val="36"/>
        </w:rPr>
        <w:t>Section 1: Contact Details</w:t>
      </w:r>
    </w:p>
    <w:p>
      <w:pPr>
        <w:pStyle w:val="BodyText"/>
        <w:spacing w:before="7"/>
        <w:rPr>
          <w:b/>
          <w:sz w:val="14"/>
        </w:rPr>
      </w:pPr>
    </w:p>
    <w:p>
      <w:pPr>
        <w:pStyle w:val="ListParagraph"/>
        <w:numPr>
          <w:ilvl w:val="1"/>
          <w:numId w:val="10"/>
        </w:numPr>
        <w:tabs>
          <w:tab w:pos="829" w:val="left" w:leader="none"/>
          <w:tab w:pos="830" w:val="left" w:leader="none"/>
        </w:tabs>
        <w:spacing w:line="240" w:lineRule="auto" w:before="94" w:after="0"/>
        <w:ind w:left="830" w:right="0" w:hanging="720"/>
        <w:jc w:val="left"/>
        <w:rPr>
          <w:sz w:val="22"/>
        </w:rPr>
      </w:pPr>
      <w:r>
        <w:rPr>
          <w:sz w:val="22"/>
        </w:rPr>
        <w:t>Name of</w:t>
      </w:r>
      <w:r>
        <w:rPr>
          <w:spacing w:val="-7"/>
          <w:sz w:val="22"/>
        </w:rPr>
        <w:t> </w:t>
      </w:r>
      <w:r>
        <w:rPr>
          <w:sz w:val="22"/>
        </w:rPr>
        <w:t>facility</w:t>
      </w:r>
    </w:p>
    <w:p>
      <w:pPr>
        <w:pStyle w:val="BodyText"/>
        <w:rPr>
          <w:sz w:val="20"/>
        </w:rPr>
      </w:pPr>
    </w:p>
    <w:p>
      <w:pPr>
        <w:pStyle w:val="BodyText"/>
        <w:rPr>
          <w:sz w:val="13"/>
        </w:rPr>
      </w:pPr>
      <w:r>
        <w:rPr/>
        <w:pict>
          <v:rect style="position:absolute;margin-left:82.349998pt;margin-top:9.803486pt;width:396pt;height:23.15pt;mso-position-horizontal-relative:page;mso-position-vertical-relative:paragraph;z-index:4480;mso-wrap-distance-left:0;mso-wrap-distance-right:0" filled="false" stroked="true" strokeweight=".75pt" strokecolor="#000000">
            <v:stroke dashstyle="solid"/>
            <w10:wrap type="topAndBottom"/>
          </v:rect>
        </w:pict>
      </w:r>
    </w:p>
    <w:p>
      <w:pPr>
        <w:pStyle w:val="BodyText"/>
        <w:spacing w:before="7"/>
        <w:rPr>
          <w:sz w:val="25"/>
        </w:rPr>
      </w:pPr>
    </w:p>
    <w:p>
      <w:pPr>
        <w:pStyle w:val="ListParagraph"/>
        <w:numPr>
          <w:ilvl w:val="1"/>
          <w:numId w:val="10"/>
        </w:numPr>
        <w:tabs>
          <w:tab w:pos="829" w:val="left" w:leader="none"/>
          <w:tab w:pos="830" w:val="left" w:leader="none"/>
        </w:tabs>
        <w:spacing w:line="240" w:lineRule="auto" w:before="0" w:after="0"/>
        <w:ind w:left="830" w:right="0" w:hanging="720"/>
        <w:jc w:val="left"/>
        <w:rPr>
          <w:sz w:val="22"/>
        </w:rPr>
      </w:pPr>
      <w:r>
        <w:rPr>
          <w:sz w:val="22"/>
        </w:rPr>
        <w:t>Address of</w:t>
      </w:r>
      <w:r>
        <w:rPr>
          <w:spacing w:val="-7"/>
          <w:sz w:val="22"/>
        </w:rPr>
        <w:t> </w:t>
      </w:r>
      <w:r>
        <w:rPr>
          <w:sz w:val="22"/>
        </w:rPr>
        <w:t>facility</w:t>
      </w:r>
    </w:p>
    <w:p>
      <w:pPr>
        <w:pStyle w:val="BodyText"/>
        <w:rPr>
          <w:sz w:val="17"/>
        </w:rPr>
      </w:pPr>
      <w:r>
        <w:rPr/>
        <w:pict>
          <v:rect style="position:absolute;margin-left:82.349998pt;margin-top:12.12562pt;width:396pt;height:43.5pt;mso-position-horizontal-relative:page;mso-position-vertical-relative:paragraph;z-index:4504;mso-wrap-distance-left:0;mso-wrap-distance-right:0" filled="false" stroked="true" strokeweight=".75pt" strokecolor="#000000">
            <v:stroke dashstyle="solid"/>
            <w10:wrap type="topAndBottom"/>
          </v:rect>
        </w:pict>
      </w:r>
    </w:p>
    <w:p>
      <w:pPr>
        <w:pStyle w:val="ListParagraph"/>
        <w:numPr>
          <w:ilvl w:val="1"/>
          <w:numId w:val="10"/>
        </w:numPr>
        <w:tabs>
          <w:tab w:pos="829" w:val="left" w:leader="none"/>
          <w:tab w:pos="830" w:val="left" w:leader="none"/>
        </w:tabs>
        <w:spacing w:line="240" w:lineRule="auto" w:before="72" w:after="0"/>
        <w:ind w:left="830" w:right="0" w:hanging="720"/>
        <w:jc w:val="left"/>
        <w:rPr>
          <w:sz w:val="22"/>
        </w:rPr>
      </w:pPr>
      <w:r>
        <w:rPr>
          <w:sz w:val="22"/>
        </w:rPr>
        <w:t>Townland the facility is located</w:t>
      </w:r>
      <w:r>
        <w:rPr>
          <w:spacing w:val="-11"/>
          <w:sz w:val="22"/>
        </w:rPr>
        <w:t> </w:t>
      </w:r>
      <w:r>
        <w:rPr>
          <w:sz w:val="22"/>
        </w:rPr>
        <w:t>in</w:t>
      </w:r>
    </w:p>
    <w:p>
      <w:pPr>
        <w:pStyle w:val="BodyText"/>
        <w:spacing w:before="11"/>
        <w:rPr>
          <w:sz w:val="22"/>
        </w:rPr>
      </w:pPr>
      <w:r>
        <w:rPr/>
        <w:pict>
          <v:rect style="position:absolute;margin-left:82.349998pt;margin-top:15.531796pt;width:396pt;height:30pt;mso-position-horizontal-relative:page;mso-position-vertical-relative:paragraph;z-index:4528;mso-wrap-distance-left:0;mso-wrap-distance-right:0" filled="false" stroked="true" strokeweight=".75pt" strokecolor="#000000">
            <v:stroke dashstyle="solid"/>
            <w10:wrap type="topAndBottom"/>
          </v:rect>
        </w:pict>
      </w:r>
    </w:p>
    <w:p>
      <w:pPr>
        <w:pStyle w:val="BodyText"/>
      </w:pPr>
    </w:p>
    <w:p>
      <w:pPr>
        <w:pStyle w:val="BodyText"/>
      </w:pPr>
    </w:p>
    <w:p>
      <w:pPr>
        <w:pStyle w:val="ListParagraph"/>
        <w:numPr>
          <w:ilvl w:val="1"/>
          <w:numId w:val="10"/>
        </w:numPr>
        <w:tabs>
          <w:tab w:pos="829" w:val="left" w:leader="none"/>
          <w:tab w:pos="830" w:val="left" w:leader="none"/>
        </w:tabs>
        <w:spacing w:line="240" w:lineRule="auto" w:before="211" w:after="0"/>
        <w:ind w:left="830" w:right="0" w:hanging="720"/>
        <w:jc w:val="left"/>
        <w:rPr>
          <w:sz w:val="22"/>
        </w:rPr>
      </w:pPr>
      <w:r>
        <w:rPr/>
        <w:pict>
          <v:rect style="position:absolute;margin-left:177.449997pt;margin-top:20.467888pt;width:180pt;height:18pt;mso-position-horizontal-relative:page;mso-position-vertical-relative:paragraph;z-index:4576" filled="false" stroked="true" strokeweight=".75pt" strokecolor="#000000">
            <v:stroke dashstyle="solid"/>
            <w10:wrap type="none"/>
          </v:rect>
        </w:pict>
      </w:r>
      <w:r>
        <w:rPr/>
        <w:pict>
          <v:rect style="position:absolute;margin-left:177.449997pt;margin-top:-2.682112pt;width:180pt;height:18.75pt;mso-position-horizontal-relative:page;mso-position-vertical-relative:paragraph;z-index:4672" filled="false" stroked="true" strokeweight=".75pt" strokecolor="#000000">
            <v:stroke dashstyle="solid"/>
            <w10:wrap type="none"/>
          </v:rect>
        </w:pict>
      </w:r>
      <w:r>
        <w:rPr>
          <w:sz w:val="22"/>
        </w:rPr>
        <w:t>Eircode</w:t>
      </w:r>
    </w:p>
    <w:p>
      <w:pPr>
        <w:pStyle w:val="BodyText"/>
        <w:spacing w:before="6"/>
        <w:rPr>
          <w:sz w:val="20"/>
        </w:rPr>
      </w:pPr>
    </w:p>
    <w:p>
      <w:pPr>
        <w:pStyle w:val="ListParagraph"/>
        <w:numPr>
          <w:ilvl w:val="1"/>
          <w:numId w:val="10"/>
        </w:numPr>
        <w:tabs>
          <w:tab w:pos="829" w:val="left" w:leader="none"/>
          <w:tab w:pos="830" w:val="left" w:leader="none"/>
        </w:tabs>
        <w:spacing w:line="240" w:lineRule="auto" w:before="0" w:after="0"/>
        <w:ind w:left="830" w:right="0" w:hanging="720"/>
        <w:jc w:val="left"/>
        <w:rPr>
          <w:sz w:val="22"/>
        </w:rPr>
      </w:pPr>
      <w:r>
        <w:rPr/>
        <w:pict>
          <v:rect style="position:absolute;margin-left:177.449997pt;margin-top:9.387877pt;width:180pt;height:18pt;mso-position-horizontal-relative:page;mso-position-vertical-relative:paragraph;z-index:4600" filled="false" stroked="true" strokeweight=".75pt" strokecolor="#000000">
            <v:stroke dashstyle="solid"/>
            <w10:wrap type="none"/>
          </v:rect>
        </w:pict>
      </w:r>
      <w:r>
        <w:rPr>
          <w:sz w:val="22"/>
        </w:rPr>
        <w:t>Telephone:</w:t>
      </w:r>
    </w:p>
    <w:p>
      <w:pPr>
        <w:pStyle w:val="BodyText"/>
        <w:spacing w:before="8"/>
        <w:rPr>
          <w:sz w:val="20"/>
        </w:rPr>
      </w:pPr>
    </w:p>
    <w:p>
      <w:pPr>
        <w:pStyle w:val="ListParagraph"/>
        <w:numPr>
          <w:ilvl w:val="1"/>
          <w:numId w:val="10"/>
        </w:numPr>
        <w:tabs>
          <w:tab w:pos="829" w:val="left" w:leader="none"/>
          <w:tab w:pos="830" w:val="left" w:leader="none"/>
        </w:tabs>
        <w:spacing w:line="240" w:lineRule="auto" w:before="1" w:after="0"/>
        <w:ind w:left="830" w:right="0" w:hanging="720"/>
        <w:jc w:val="left"/>
        <w:rPr>
          <w:sz w:val="22"/>
        </w:rPr>
      </w:pPr>
      <w:r>
        <w:rPr/>
        <w:pict>
          <v:rect style="position:absolute;margin-left:177.449997pt;margin-top:12.767882pt;width:180pt;height:22.45pt;mso-position-horizontal-relative:page;mso-position-vertical-relative:paragraph;z-index:4624" filled="false" stroked="true" strokeweight=".75pt" strokecolor="#000000">
            <v:stroke dashstyle="solid"/>
            <w10:wrap type="none"/>
          </v:rect>
        </w:pict>
      </w:r>
      <w:r>
        <w:rPr>
          <w:sz w:val="22"/>
        </w:rPr>
        <w:t>Mobile:</w:t>
      </w:r>
    </w:p>
    <w:p>
      <w:pPr>
        <w:pStyle w:val="BodyText"/>
        <w:spacing w:before="9"/>
        <w:rPr>
          <w:sz w:val="20"/>
        </w:rPr>
      </w:pPr>
    </w:p>
    <w:p>
      <w:pPr>
        <w:pStyle w:val="ListParagraph"/>
        <w:numPr>
          <w:ilvl w:val="1"/>
          <w:numId w:val="10"/>
        </w:numPr>
        <w:tabs>
          <w:tab w:pos="829" w:val="left" w:leader="none"/>
          <w:tab w:pos="830" w:val="left" w:leader="none"/>
        </w:tabs>
        <w:spacing w:line="240" w:lineRule="auto" w:before="0" w:after="0"/>
        <w:ind w:left="830" w:right="0" w:hanging="720"/>
        <w:jc w:val="left"/>
        <w:rPr>
          <w:sz w:val="22"/>
        </w:rPr>
      </w:pPr>
      <w:r>
        <w:rPr>
          <w:sz w:val="22"/>
        </w:rPr>
        <w:t>Email:</w:t>
      </w:r>
    </w:p>
    <w:p>
      <w:pPr>
        <w:pStyle w:val="BodyText"/>
        <w:spacing w:before="6"/>
        <w:rPr>
          <w:sz w:val="20"/>
        </w:rPr>
      </w:pPr>
    </w:p>
    <w:p>
      <w:pPr>
        <w:pStyle w:val="ListParagraph"/>
        <w:numPr>
          <w:ilvl w:val="1"/>
          <w:numId w:val="10"/>
        </w:numPr>
        <w:tabs>
          <w:tab w:pos="829" w:val="left" w:leader="none"/>
          <w:tab w:pos="830" w:val="left" w:leader="none"/>
        </w:tabs>
        <w:spacing w:line="240" w:lineRule="auto" w:before="0" w:after="0"/>
        <w:ind w:left="830" w:right="0" w:hanging="720"/>
        <w:jc w:val="left"/>
        <w:rPr>
          <w:sz w:val="22"/>
        </w:rPr>
      </w:pPr>
      <w:r>
        <w:rPr/>
        <w:pict>
          <v:rect style="position:absolute;margin-left:177.449997pt;margin-top:-3.612135pt;width:180pt;height:24pt;mso-position-horizontal-relative:page;mso-position-vertical-relative:paragraph;z-index:4648" filled="false" stroked="true" strokeweight=".75pt" strokecolor="#000000">
            <v:stroke dashstyle="solid"/>
            <w10:wrap type="none"/>
          </v:rect>
        </w:pict>
      </w:r>
      <w:r>
        <w:rPr>
          <w:sz w:val="22"/>
        </w:rPr>
        <w:t>Website:</w:t>
      </w:r>
    </w:p>
    <w:p>
      <w:pPr>
        <w:pStyle w:val="BodyText"/>
      </w:pPr>
    </w:p>
    <w:p>
      <w:pPr>
        <w:pStyle w:val="BodyText"/>
      </w:pPr>
    </w:p>
    <w:p>
      <w:pPr>
        <w:pStyle w:val="ListParagraph"/>
        <w:numPr>
          <w:ilvl w:val="1"/>
          <w:numId w:val="10"/>
        </w:numPr>
        <w:tabs>
          <w:tab w:pos="829" w:val="left" w:leader="none"/>
          <w:tab w:pos="830" w:val="left" w:leader="none"/>
        </w:tabs>
        <w:spacing w:line="240" w:lineRule="auto" w:before="176" w:after="0"/>
        <w:ind w:left="830" w:right="0" w:hanging="720"/>
        <w:jc w:val="left"/>
        <w:rPr>
          <w:sz w:val="22"/>
        </w:rPr>
      </w:pPr>
      <w:r>
        <w:rPr>
          <w:sz w:val="22"/>
        </w:rPr>
        <w:t>Name &amp; address of contact person for the</w:t>
      </w:r>
      <w:r>
        <w:rPr>
          <w:spacing w:val="-15"/>
          <w:sz w:val="22"/>
        </w:rPr>
        <w:t> </w:t>
      </w:r>
      <w:r>
        <w:rPr>
          <w:sz w:val="22"/>
        </w:rPr>
        <w:t>facility:</w:t>
      </w:r>
    </w:p>
    <w:p>
      <w:pPr>
        <w:pStyle w:val="BodyText"/>
        <w:rPr>
          <w:sz w:val="20"/>
        </w:rPr>
      </w:pPr>
    </w:p>
    <w:p>
      <w:pPr>
        <w:pStyle w:val="BodyText"/>
        <w:rPr>
          <w:sz w:val="14"/>
        </w:rPr>
      </w:pPr>
      <w:r>
        <w:rPr/>
        <w:pict>
          <v:rect style="position:absolute;margin-left:114.449997pt;margin-top:10.40597pt;width:369pt;height:112.2pt;mso-position-horizontal-relative:page;mso-position-vertical-relative:paragraph;z-index:4552;mso-wrap-distance-left:0;mso-wrap-distance-right:0" filled="false" stroked="true" strokeweight=".75pt" strokecolor="#000000">
            <v:stroke dashstyle="solid"/>
            <w10:wrap type="topAndBottom"/>
          </v:rect>
        </w:pict>
      </w:r>
    </w:p>
    <w:p>
      <w:pPr>
        <w:pStyle w:val="BodyText"/>
      </w:pPr>
    </w:p>
    <w:p>
      <w:pPr>
        <w:pStyle w:val="BodyText"/>
      </w:pPr>
    </w:p>
    <w:p>
      <w:pPr>
        <w:pStyle w:val="BodyText"/>
        <w:spacing w:before="3"/>
        <w:rPr>
          <w:sz w:val="35"/>
        </w:rPr>
      </w:pPr>
    </w:p>
    <w:p>
      <w:pPr>
        <w:tabs>
          <w:tab w:pos="829" w:val="left" w:leader="none"/>
        </w:tabs>
        <w:spacing w:before="0"/>
        <w:ind w:left="110" w:right="0" w:firstLine="0"/>
        <w:jc w:val="left"/>
        <w:rPr>
          <w:sz w:val="22"/>
        </w:rPr>
      </w:pPr>
      <w:r>
        <w:rPr>
          <w:b/>
          <w:sz w:val="22"/>
        </w:rPr>
        <w:t>1.10</w:t>
      </w:r>
      <w:r>
        <w:rPr>
          <w:sz w:val="22"/>
        </w:rPr>
        <w:t>.</w:t>
        <w:tab/>
        <w:t>Would you like for your details to be placed on a public</w:t>
      </w:r>
      <w:r>
        <w:rPr>
          <w:spacing w:val="-19"/>
          <w:sz w:val="22"/>
        </w:rPr>
        <w:t> </w:t>
      </w:r>
      <w:r>
        <w:rPr>
          <w:sz w:val="22"/>
        </w:rPr>
        <w:t>database?</w:t>
      </w:r>
    </w:p>
    <w:p>
      <w:pPr>
        <w:pStyle w:val="BodyText"/>
        <w:spacing w:before="5"/>
        <w:rPr>
          <w:sz w:val="28"/>
        </w:rPr>
      </w:pPr>
    </w:p>
    <w:p>
      <w:pPr>
        <w:tabs>
          <w:tab w:pos="720" w:val="left" w:leader="none"/>
          <w:tab w:pos="1440" w:val="left" w:leader="none"/>
          <w:tab w:pos="2160" w:val="left" w:leader="none"/>
        </w:tabs>
        <w:spacing w:before="1"/>
        <w:ind w:left="0" w:right="536" w:firstLine="0"/>
        <w:jc w:val="right"/>
        <w:rPr>
          <w:rFonts w:ascii="Wingdings" w:hAnsi="Wingdings"/>
          <w:sz w:val="22"/>
        </w:rPr>
      </w:pPr>
      <w:r>
        <w:rPr>
          <w:sz w:val="22"/>
        </w:rPr>
        <w:t>Yes</w:t>
        <w:tab/>
      </w:r>
      <w:r>
        <w:rPr>
          <w:rFonts w:ascii="Wingdings" w:hAnsi="Wingdings"/>
          <w:sz w:val="22"/>
        </w:rPr>
        <w:t></w:t>
        <w:tab/>
      </w:r>
      <w:r>
        <w:rPr>
          <w:sz w:val="22"/>
        </w:rPr>
        <w:t>No</w:t>
        <w:tab/>
      </w:r>
      <w:r>
        <w:rPr>
          <w:rFonts w:ascii="Wingdings" w:hAnsi="Wingdings"/>
          <w:sz w:val="22"/>
        </w:rPr>
        <w:t></w:t>
      </w:r>
    </w:p>
    <w:p>
      <w:pPr>
        <w:spacing w:after="0"/>
        <w:jc w:val="right"/>
        <w:rPr>
          <w:rFonts w:ascii="Wingdings" w:hAnsi="Wingdings"/>
          <w:sz w:val="22"/>
        </w:rPr>
        <w:sectPr>
          <w:headerReference w:type="default" r:id="rId48"/>
          <w:footerReference w:type="default" r:id="rId49"/>
          <w:pgSz w:w="11910" w:h="17340"/>
          <w:pgMar w:header="759" w:footer="0" w:top="940" w:bottom="280" w:left="1460" w:right="1680"/>
        </w:sectPr>
      </w:pPr>
    </w:p>
    <w:p>
      <w:pPr>
        <w:pStyle w:val="BodyText"/>
        <w:spacing w:before="2"/>
        <w:rPr>
          <w:rFonts w:ascii="Wingdings"/>
          <w:sz w:val="16"/>
        </w:rPr>
      </w:pPr>
    </w:p>
    <w:p>
      <w:pPr>
        <w:pStyle w:val="Heading2"/>
        <w:ind w:left="110"/>
      </w:pPr>
      <w:r>
        <w:rPr/>
        <w:t>SECTION 2: Facilities Provided</w:t>
      </w:r>
    </w:p>
    <w:p>
      <w:pPr>
        <w:pStyle w:val="ListParagraph"/>
        <w:numPr>
          <w:ilvl w:val="1"/>
          <w:numId w:val="11"/>
        </w:numPr>
        <w:tabs>
          <w:tab w:pos="829" w:val="left" w:leader="none"/>
          <w:tab w:pos="830" w:val="left" w:leader="none"/>
          <w:tab w:pos="3710" w:val="left" w:leader="none"/>
          <w:tab w:pos="4430" w:val="left" w:leader="none"/>
          <w:tab w:pos="5150" w:val="left" w:leader="none"/>
          <w:tab w:pos="5870" w:val="left" w:leader="none"/>
          <w:tab w:pos="7789" w:val="left" w:leader="none"/>
          <w:tab w:pos="8031" w:val="left" w:leader="none"/>
          <w:tab w:pos="8751" w:val="left" w:leader="none"/>
        </w:tabs>
        <w:spacing w:line="465" w:lineRule="auto" w:before="198" w:after="0"/>
        <w:ind w:left="830" w:right="115" w:hanging="720"/>
        <w:jc w:val="left"/>
        <w:rPr>
          <w:sz w:val="22"/>
        </w:rPr>
      </w:pPr>
      <w:r>
        <w:rPr>
          <w:sz w:val="22"/>
        </w:rPr>
        <w:t>Is the facility</w:t>
      </w:r>
      <w:r>
        <w:rPr>
          <w:spacing w:val="-10"/>
          <w:sz w:val="22"/>
        </w:rPr>
        <w:t> </w:t>
      </w:r>
      <w:r>
        <w:rPr>
          <w:sz w:val="22"/>
        </w:rPr>
        <w:t>a:Community</w:t>
      </w:r>
      <w:r>
        <w:rPr>
          <w:spacing w:val="-4"/>
          <w:sz w:val="22"/>
        </w:rPr>
        <w:t> </w:t>
      </w:r>
      <w:r>
        <w:rPr>
          <w:sz w:val="22"/>
        </w:rPr>
        <w:t>Facility</w:t>
        <w:tab/>
        <w:tab/>
      </w:r>
      <w:r>
        <w:rPr>
          <w:rFonts w:ascii="Wingdings" w:hAnsi="Wingdings"/>
          <w:sz w:val="22"/>
        </w:rPr>
        <w:t></w:t>
        <w:tab/>
      </w:r>
      <w:r>
        <w:rPr>
          <w:sz w:val="22"/>
        </w:rPr>
        <w:t>Community &amp;</w:t>
      </w:r>
      <w:r>
        <w:rPr>
          <w:spacing w:val="-5"/>
          <w:sz w:val="22"/>
        </w:rPr>
        <w:t> </w:t>
      </w:r>
      <w:r>
        <w:rPr>
          <w:sz w:val="22"/>
        </w:rPr>
        <w:t>Sport</w:t>
      </w:r>
      <w:r>
        <w:rPr>
          <w:spacing w:val="-1"/>
          <w:sz w:val="22"/>
        </w:rPr>
        <w:t> </w:t>
      </w:r>
      <w:r>
        <w:rPr>
          <w:sz w:val="22"/>
        </w:rPr>
        <w:t>Facility</w:t>
        <w:tab/>
      </w:r>
      <w:r>
        <w:rPr>
          <w:rFonts w:ascii="Wingdings" w:hAnsi="Wingdings"/>
          <w:sz w:val="22"/>
        </w:rPr>
        <w:t></w:t>
      </w:r>
      <w:r>
        <w:rPr>
          <w:rFonts w:ascii="Times New Roman" w:hAnsi="Times New Roman"/>
          <w:sz w:val="22"/>
        </w:rPr>
        <w:t> </w:t>
      </w:r>
      <w:r>
        <w:rPr>
          <w:sz w:val="22"/>
        </w:rPr>
        <w:t>Sports</w:t>
      </w:r>
      <w:r>
        <w:rPr>
          <w:spacing w:val="-4"/>
          <w:sz w:val="22"/>
        </w:rPr>
        <w:t> </w:t>
      </w:r>
      <w:r>
        <w:rPr>
          <w:sz w:val="22"/>
        </w:rPr>
        <w:t>Facility</w:t>
        <w:tab/>
      </w:r>
      <w:r>
        <w:rPr>
          <w:rFonts w:ascii="Wingdings" w:hAnsi="Wingdings"/>
          <w:sz w:val="22"/>
        </w:rPr>
        <w:t></w:t>
        <w:tab/>
      </w:r>
      <w:r>
        <w:rPr>
          <w:sz w:val="22"/>
        </w:rPr>
        <w:t>Social</w:t>
      </w:r>
      <w:r>
        <w:rPr>
          <w:spacing w:val="-2"/>
          <w:sz w:val="22"/>
        </w:rPr>
        <w:t> </w:t>
      </w:r>
      <w:r>
        <w:rPr>
          <w:sz w:val="22"/>
        </w:rPr>
        <w:t>Enterprise</w:t>
      </w:r>
      <w:r>
        <w:rPr>
          <w:spacing w:val="-3"/>
          <w:sz w:val="22"/>
        </w:rPr>
        <w:t> </w:t>
      </w:r>
      <w:r>
        <w:rPr>
          <w:sz w:val="22"/>
        </w:rPr>
        <w:t>Facility</w:t>
        <w:tab/>
        <w:tab/>
      </w:r>
      <w:r>
        <w:rPr>
          <w:rFonts w:ascii="Wingdings" w:hAnsi="Wingdings"/>
          <w:sz w:val="22"/>
        </w:rPr>
        <w:t></w:t>
      </w:r>
      <w:r>
        <w:rPr>
          <w:rFonts w:ascii="Times New Roman" w:hAnsi="Times New Roman"/>
          <w:sz w:val="22"/>
        </w:rPr>
        <w:t> </w:t>
      </w:r>
      <w:r>
        <w:rPr>
          <w:sz w:val="22"/>
        </w:rPr>
        <w:t>Childcare</w:t>
      </w:r>
      <w:r>
        <w:rPr>
          <w:spacing w:val="-3"/>
          <w:sz w:val="22"/>
        </w:rPr>
        <w:t> </w:t>
      </w:r>
      <w:r>
        <w:rPr>
          <w:sz w:val="22"/>
        </w:rPr>
        <w:t>Facility</w:t>
        <w:tab/>
      </w:r>
      <w:r>
        <w:rPr>
          <w:rFonts w:ascii="Wingdings" w:hAnsi="Wingdings"/>
          <w:sz w:val="22"/>
        </w:rPr>
        <w:t></w:t>
        <w:tab/>
      </w:r>
      <w:r>
        <w:rPr>
          <w:sz w:val="22"/>
        </w:rPr>
        <w:t>Multi-Purpose</w:t>
        <w:tab/>
        <w:tab/>
        <w:tab/>
      </w:r>
      <w:r>
        <w:rPr>
          <w:rFonts w:ascii="Wingdings" w:hAnsi="Wingdings"/>
          <w:sz w:val="22"/>
        </w:rPr>
        <w:t></w:t>
      </w:r>
      <w:r>
        <w:rPr>
          <w:rFonts w:ascii="Times New Roman" w:hAnsi="Times New Roman"/>
          <w:sz w:val="22"/>
        </w:rPr>
        <w:t>   </w:t>
      </w:r>
      <w:r>
        <w:rPr>
          <w:sz w:val="22"/>
        </w:rPr>
        <w:t>Other, please</w:t>
      </w:r>
      <w:r>
        <w:rPr>
          <w:spacing w:val="-8"/>
          <w:sz w:val="22"/>
        </w:rPr>
        <w:t> </w:t>
      </w:r>
      <w:r>
        <w:rPr>
          <w:sz w:val="22"/>
        </w:rPr>
        <w:t>specify:</w:t>
      </w:r>
      <w:r>
        <w:rPr>
          <w:sz w:val="22"/>
          <w:u w:val="single"/>
        </w:rPr>
        <w:t> </w:t>
        <w:tab/>
        <w:tab/>
        <w:tab/>
        <w:tab/>
        <w:tab/>
      </w:r>
    </w:p>
    <w:p>
      <w:pPr>
        <w:pStyle w:val="BodyText"/>
        <w:rPr>
          <w:sz w:val="20"/>
        </w:rPr>
      </w:pPr>
    </w:p>
    <w:p>
      <w:pPr>
        <w:pStyle w:val="BodyText"/>
        <w:rPr>
          <w:sz w:val="23"/>
        </w:rPr>
      </w:pPr>
    </w:p>
    <w:p>
      <w:pPr>
        <w:pStyle w:val="ListParagraph"/>
        <w:numPr>
          <w:ilvl w:val="1"/>
          <w:numId w:val="11"/>
        </w:numPr>
        <w:tabs>
          <w:tab w:pos="829" w:val="left" w:leader="none"/>
          <w:tab w:pos="830" w:val="left" w:leader="none"/>
        </w:tabs>
        <w:spacing w:line="240" w:lineRule="auto" w:before="0" w:after="0"/>
        <w:ind w:left="830" w:right="0" w:hanging="720"/>
        <w:jc w:val="left"/>
        <w:rPr>
          <w:sz w:val="22"/>
        </w:rPr>
      </w:pPr>
      <w:r>
        <w:rPr>
          <w:sz w:val="22"/>
        </w:rPr>
        <w:t>Is your facility line marked for the following sporting</w:t>
      </w:r>
      <w:r>
        <w:rPr>
          <w:spacing w:val="-28"/>
          <w:sz w:val="22"/>
        </w:rPr>
        <w:t> </w:t>
      </w:r>
      <w:r>
        <w:rPr>
          <w:sz w:val="22"/>
        </w:rPr>
        <w:t>activities?</w:t>
      </w:r>
    </w:p>
    <w:p>
      <w:pPr>
        <w:pStyle w:val="BodyText"/>
        <w:rPr>
          <w:sz w:val="21"/>
        </w:rPr>
      </w:pPr>
    </w:p>
    <w:p>
      <w:pPr>
        <w:tabs>
          <w:tab w:pos="3710" w:val="left" w:leader="none"/>
          <w:tab w:pos="5150" w:val="left" w:leader="none"/>
          <w:tab w:pos="8031" w:val="left" w:leader="none"/>
        </w:tabs>
        <w:spacing w:before="0"/>
        <w:ind w:left="830" w:right="0" w:firstLine="0"/>
        <w:jc w:val="left"/>
        <w:rPr>
          <w:rFonts w:ascii="Wingdings" w:hAnsi="Wingdings"/>
          <w:sz w:val="22"/>
        </w:rPr>
      </w:pPr>
      <w:r>
        <w:rPr>
          <w:sz w:val="22"/>
        </w:rPr>
        <w:t>Basket</w:t>
      </w:r>
      <w:r>
        <w:rPr>
          <w:spacing w:val="0"/>
          <w:sz w:val="22"/>
        </w:rPr>
        <w:t> </w:t>
      </w:r>
      <w:r>
        <w:rPr>
          <w:sz w:val="22"/>
        </w:rPr>
        <w:t>Ball</w:t>
        <w:tab/>
      </w:r>
      <w:r>
        <w:rPr>
          <w:rFonts w:ascii="Wingdings" w:hAnsi="Wingdings"/>
          <w:sz w:val="22"/>
        </w:rPr>
        <w:t></w:t>
        <w:tab/>
      </w:r>
      <w:r>
        <w:rPr>
          <w:sz w:val="22"/>
        </w:rPr>
        <w:t>Badminton</w:t>
        <w:tab/>
      </w:r>
      <w:r>
        <w:rPr>
          <w:rFonts w:ascii="Wingdings" w:hAnsi="Wingdings"/>
          <w:sz w:val="22"/>
        </w:rPr>
        <w:t></w:t>
      </w:r>
    </w:p>
    <w:p>
      <w:pPr>
        <w:pStyle w:val="BodyText"/>
        <w:spacing w:before="3"/>
        <w:rPr>
          <w:rFonts w:ascii="Wingdings"/>
          <w:sz w:val="21"/>
        </w:rPr>
      </w:pPr>
    </w:p>
    <w:p>
      <w:pPr>
        <w:tabs>
          <w:tab w:pos="3710" w:val="left" w:leader="none"/>
          <w:tab w:pos="5150" w:val="left" w:leader="none"/>
          <w:tab w:pos="8031" w:val="left" w:leader="none"/>
        </w:tabs>
        <w:spacing w:before="0"/>
        <w:ind w:left="830" w:right="0" w:firstLine="0"/>
        <w:jc w:val="left"/>
        <w:rPr>
          <w:rFonts w:ascii="Wingdings" w:hAnsi="Wingdings"/>
          <w:sz w:val="22"/>
        </w:rPr>
      </w:pPr>
      <w:r>
        <w:rPr>
          <w:sz w:val="22"/>
        </w:rPr>
        <w:t>Indoor</w:t>
      </w:r>
      <w:r>
        <w:rPr>
          <w:spacing w:val="-1"/>
          <w:sz w:val="22"/>
        </w:rPr>
        <w:t> </w:t>
      </w:r>
      <w:r>
        <w:rPr>
          <w:sz w:val="22"/>
        </w:rPr>
        <w:t>Soccer</w:t>
        <w:tab/>
      </w:r>
      <w:r>
        <w:rPr>
          <w:rFonts w:ascii="Wingdings" w:hAnsi="Wingdings"/>
          <w:sz w:val="22"/>
        </w:rPr>
        <w:t></w:t>
        <w:tab/>
      </w:r>
      <w:r>
        <w:rPr>
          <w:sz w:val="22"/>
        </w:rPr>
        <w:t>Handball</w:t>
        <w:tab/>
      </w:r>
      <w:r>
        <w:rPr>
          <w:rFonts w:ascii="Wingdings" w:hAnsi="Wingdings"/>
          <w:sz w:val="22"/>
        </w:rPr>
        <w:t></w:t>
      </w:r>
    </w:p>
    <w:p>
      <w:pPr>
        <w:pStyle w:val="BodyText"/>
        <w:spacing w:before="5"/>
        <w:rPr>
          <w:rFonts w:ascii="Wingdings"/>
          <w:sz w:val="21"/>
        </w:rPr>
      </w:pPr>
    </w:p>
    <w:p>
      <w:pPr>
        <w:tabs>
          <w:tab w:pos="7727" w:val="left" w:leader="none"/>
        </w:tabs>
        <w:spacing w:before="0"/>
        <w:ind w:left="830" w:right="0" w:firstLine="0"/>
        <w:jc w:val="left"/>
        <w:rPr>
          <w:sz w:val="22"/>
        </w:rPr>
      </w:pPr>
      <w:r>
        <w:rPr>
          <w:sz w:val="22"/>
        </w:rPr>
        <w:t>Other, please</w:t>
      </w:r>
      <w:r>
        <w:rPr>
          <w:spacing w:val="-7"/>
          <w:sz w:val="22"/>
        </w:rPr>
        <w:t> </w:t>
      </w:r>
      <w:r>
        <w:rPr>
          <w:sz w:val="22"/>
        </w:rPr>
        <w:t>specify:</w:t>
      </w:r>
      <w:r>
        <w:rPr>
          <w:spacing w:val="1"/>
          <w:sz w:val="22"/>
        </w:rPr>
        <w:t> </w:t>
      </w:r>
      <w:r>
        <w:rPr>
          <w:w w:val="100"/>
          <w:sz w:val="22"/>
          <w:u w:val="single"/>
        </w:rPr>
        <w:t> </w:t>
      </w:r>
      <w:r>
        <w:rPr>
          <w:sz w:val="22"/>
          <w:u w:val="single"/>
        </w:rPr>
        <w:tab/>
      </w:r>
    </w:p>
    <w:p>
      <w:pPr>
        <w:pStyle w:val="BodyText"/>
        <w:rPr>
          <w:sz w:val="20"/>
        </w:rPr>
      </w:pPr>
    </w:p>
    <w:p>
      <w:pPr>
        <w:pStyle w:val="BodyText"/>
        <w:rPr>
          <w:sz w:val="20"/>
        </w:rPr>
      </w:pPr>
    </w:p>
    <w:p>
      <w:pPr>
        <w:pStyle w:val="BodyText"/>
        <w:spacing w:before="1"/>
        <w:rPr>
          <w:sz w:val="23"/>
        </w:rPr>
      </w:pPr>
    </w:p>
    <w:p>
      <w:pPr>
        <w:pStyle w:val="ListParagraph"/>
        <w:numPr>
          <w:ilvl w:val="1"/>
          <w:numId w:val="11"/>
        </w:numPr>
        <w:tabs>
          <w:tab w:pos="829" w:val="left" w:leader="none"/>
          <w:tab w:pos="830" w:val="left" w:leader="none"/>
        </w:tabs>
        <w:spacing w:line="240" w:lineRule="auto" w:before="0" w:after="0"/>
        <w:ind w:left="830" w:right="0" w:hanging="720"/>
        <w:jc w:val="left"/>
        <w:rPr>
          <w:b/>
          <w:sz w:val="22"/>
        </w:rPr>
      </w:pPr>
      <w:r>
        <w:rPr>
          <w:b/>
          <w:sz w:val="22"/>
        </w:rPr>
        <w:t>Outdoor</w:t>
      </w:r>
      <w:r>
        <w:rPr>
          <w:b/>
          <w:spacing w:val="-5"/>
          <w:sz w:val="22"/>
        </w:rPr>
        <w:t> </w:t>
      </w:r>
      <w:r>
        <w:rPr>
          <w:b/>
          <w:sz w:val="22"/>
        </w:rPr>
        <w:t>Facilities</w:t>
      </w:r>
    </w:p>
    <w:p>
      <w:pPr>
        <w:pStyle w:val="BodyText"/>
        <w:spacing w:before="6"/>
        <w:rPr>
          <w:b/>
          <w:sz w:val="20"/>
        </w:rPr>
      </w:pPr>
    </w:p>
    <w:p>
      <w:pPr>
        <w:pStyle w:val="ListParagraph"/>
        <w:numPr>
          <w:ilvl w:val="0"/>
          <w:numId w:val="12"/>
        </w:numPr>
        <w:tabs>
          <w:tab w:pos="829" w:val="left" w:leader="none"/>
          <w:tab w:pos="830" w:val="left" w:leader="none"/>
          <w:tab w:pos="5150" w:val="left" w:leader="none"/>
          <w:tab w:pos="5870" w:val="left" w:leader="none"/>
          <w:tab w:pos="6591" w:val="left" w:leader="none"/>
          <w:tab w:pos="7311" w:val="left" w:leader="none"/>
        </w:tabs>
        <w:spacing w:line="240" w:lineRule="auto" w:before="0" w:after="0"/>
        <w:ind w:left="818" w:right="0" w:hanging="708"/>
        <w:jc w:val="left"/>
        <w:rPr>
          <w:rFonts w:ascii="Wingdings" w:hAnsi="Wingdings"/>
          <w:sz w:val="22"/>
        </w:rPr>
      </w:pPr>
      <w:r>
        <w:rPr>
          <w:sz w:val="22"/>
        </w:rPr>
        <w:t>Has your facility an</w:t>
      </w:r>
      <w:r>
        <w:rPr>
          <w:spacing w:val="-8"/>
          <w:sz w:val="22"/>
        </w:rPr>
        <w:t> </w:t>
      </w:r>
      <w:r>
        <w:rPr>
          <w:sz w:val="22"/>
        </w:rPr>
        <w:t>outdoor</w:t>
      </w:r>
      <w:r>
        <w:rPr>
          <w:spacing w:val="-1"/>
          <w:sz w:val="22"/>
        </w:rPr>
        <w:t> </w:t>
      </w:r>
      <w:r>
        <w:rPr>
          <w:sz w:val="22"/>
        </w:rPr>
        <w:t>pitch?</w:t>
        <w:tab/>
        <w:t>Yes</w:t>
        <w:tab/>
      </w:r>
      <w:r>
        <w:rPr>
          <w:rFonts w:ascii="Wingdings" w:hAnsi="Wingdings"/>
          <w:sz w:val="22"/>
        </w:rPr>
        <w:t></w:t>
        <w:tab/>
      </w:r>
      <w:r>
        <w:rPr>
          <w:sz w:val="22"/>
        </w:rPr>
        <w:t>No</w:t>
        <w:tab/>
      </w:r>
      <w:r>
        <w:rPr>
          <w:rFonts w:ascii="Wingdings" w:hAnsi="Wingdings"/>
          <w:sz w:val="22"/>
        </w:rPr>
        <w:t></w:t>
      </w:r>
    </w:p>
    <w:p>
      <w:pPr>
        <w:pStyle w:val="BodyText"/>
        <w:spacing w:before="5"/>
        <w:rPr>
          <w:rFonts w:ascii="Wingdings"/>
          <w:sz w:val="21"/>
        </w:rPr>
      </w:pPr>
    </w:p>
    <w:p>
      <w:pPr>
        <w:tabs>
          <w:tab w:pos="7115" w:val="left" w:leader="none"/>
        </w:tabs>
        <w:spacing w:before="0"/>
        <w:ind w:left="830" w:right="0" w:firstLine="0"/>
        <w:jc w:val="left"/>
        <w:rPr>
          <w:sz w:val="22"/>
        </w:rPr>
      </w:pPr>
      <w:r>
        <w:rPr>
          <w:sz w:val="22"/>
        </w:rPr>
        <w:t>If </w:t>
      </w:r>
      <w:r>
        <w:rPr>
          <w:b/>
          <w:sz w:val="22"/>
        </w:rPr>
        <w:t>Yes</w:t>
      </w:r>
      <w:r>
        <w:rPr>
          <w:sz w:val="22"/>
        </w:rPr>
        <w:t>, how</w:t>
      </w:r>
      <w:r>
        <w:rPr>
          <w:spacing w:val="-6"/>
          <w:sz w:val="22"/>
        </w:rPr>
        <w:t> </w:t>
      </w:r>
      <w:r>
        <w:rPr>
          <w:sz w:val="22"/>
        </w:rPr>
        <w:t>many?</w:t>
      </w:r>
      <w:r>
        <w:rPr>
          <w:w w:val="100"/>
          <w:sz w:val="22"/>
          <w:u w:val="single"/>
        </w:rPr>
        <w:t> </w:t>
      </w:r>
      <w:r>
        <w:rPr>
          <w:sz w:val="22"/>
          <w:u w:val="single"/>
        </w:rPr>
        <w:tab/>
      </w:r>
    </w:p>
    <w:p>
      <w:pPr>
        <w:pStyle w:val="BodyText"/>
        <w:spacing w:before="6"/>
        <w:rPr>
          <w:sz w:val="20"/>
        </w:rPr>
      </w:pPr>
    </w:p>
    <w:p>
      <w:pPr>
        <w:pStyle w:val="ListParagraph"/>
        <w:numPr>
          <w:ilvl w:val="0"/>
          <w:numId w:val="12"/>
        </w:numPr>
        <w:tabs>
          <w:tab w:pos="829" w:val="left" w:leader="none"/>
          <w:tab w:pos="830" w:val="left" w:leader="none"/>
        </w:tabs>
        <w:spacing w:line="240" w:lineRule="auto" w:before="0" w:after="0"/>
        <w:ind w:left="818" w:right="0" w:hanging="708"/>
        <w:jc w:val="left"/>
        <w:rPr>
          <w:sz w:val="22"/>
        </w:rPr>
      </w:pPr>
      <w:r>
        <w:rPr>
          <w:sz w:val="22"/>
        </w:rPr>
        <w:t>What type of pitches are</w:t>
      </w:r>
      <w:r>
        <w:rPr>
          <w:spacing w:val="-11"/>
          <w:sz w:val="22"/>
        </w:rPr>
        <w:t> </w:t>
      </w:r>
      <w:r>
        <w:rPr>
          <w:sz w:val="22"/>
        </w:rPr>
        <w:t>they?</w:t>
      </w:r>
    </w:p>
    <w:p>
      <w:pPr>
        <w:pStyle w:val="BodyText"/>
        <w:spacing w:before="10"/>
        <w:rPr>
          <w:sz w:val="20"/>
        </w:rPr>
      </w:pPr>
    </w:p>
    <w:p>
      <w:pPr>
        <w:tabs>
          <w:tab w:pos="2990" w:val="left" w:leader="none"/>
          <w:tab w:pos="4430" w:val="left" w:leader="none"/>
          <w:tab w:pos="5870" w:val="left" w:leader="none"/>
          <w:tab w:pos="7311" w:val="left" w:leader="none"/>
        </w:tabs>
        <w:spacing w:before="1"/>
        <w:ind w:left="830" w:right="0" w:firstLine="0"/>
        <w:jc w:val="left"/>
        <w:rPr>
          <w:rFonts w:ascii="Wingdings" w:hAnsi="Wingdings"/>
          <w:sz w:val="22"/>
        </w:rPr>
      </w:pPr>
      <w:r>
        <w:rPr>
          <w:sz w:val="22"/>
        </w:rPr>
        <w:t>Soccer</w:t>
      </w:r>
      <w:r>
        <w:rPr>
          <w:spacing w:val="-27"/>
          <w:sz w:val="22"/>
        </w:rPr>
        <w:t> </w:t>
      </w:r>
      <w:r>
        <w:rPr>
          <w:rFonts w:ascii="Wingdings" w:hAnsi="Wingdings"/>
          <w:sz w:val="22"/>
        </w:rPr>
        <w:t></w:t>
        <w:tab/>
      </w:r>
      <w:r>
        <w:rPr>
          <w:sz w:val="22"/>
        </w:rPr>
        <w:t>Rugby</w:t>
        <w:tab/>
      </w:r>
      <w:r>
        <w:rPr>
          <w:rFonts w:ascii="Wingdings" w:hAnsi="Wingdings"/>
          <w:sz w:val="22"/>
        </w:rPr>
        <w:t></w:t>
        <w:tab/>
      </w:r>
      <w:r>
        <w:rPr>
          <w:sz w:val="22"/>
        </w:rPr>
        <w:t>GAA</w:t>
        <w:tab/>
      </w:r>
      <w:r>
        <w:rPr>
          <w:rFonts w:ascii="Wingdings" w:hAnsi="Wingdings"/>
          <w:sz w:val="22"/>
        </w:rPr>
        <w:t></w:t>
      </w:r>
    </w:p>
    <w:p>
      <w:pPr>
        <w:pStyle w:val="BodyText"/>
        <w:spacing w:before="3"/>
        <w:rPr>
          <w:rFonts w:ascii="Wingdings"/>
          <w:sz w:val="21"/>
        </w:rPr>
      </w:pPr>
    </w:p>
    <w:p>
      <w:pPr>
        <w:pStyle w:val="ListParagraph"/>
        <w:numPr>
          <w:ilvl w:val="0"/>
          <w:numId w:val="12"/>
        </w:numPr>
        <w:tabs>
          <w:tab w:pos="829" w:val="left" w:leader="none"/>
          <w:tab w:pos="830" w:val="left" w:leader="none"/>
          <w:tab w:pos="5870" w:val="left" w:leader="none"/>
          <w:tab w:pos="6591" w:val="left" w:leader="none"/>
          <w:tab w:pos="7311" w:val="left" w:leader="none"/>
          <w:tab w:pos="8031" w:val="left" w:leader="none"/>
        </w:tabs>
        <w:spacing w:line="240" w:lineRule="auto" w:before="0" w:after="0"/>
        <w:ind w:left="818" w:right="0" w:hanging="708"/>
        <w:jc w:val="left"/>
        <w:rPr>
          <w:rFonts w:ascii="Wingdings" w:hAnsi="Wingdings"/>
          <w:sz w:val="22"/>
        </w:rPr>
      </w:pPr>
      <w:r>
        <w:rPr>
          <w:sz w:val="22"/>
        </w:rPr>
        <w:t>Have you an ‘all</w:t>
      </w:r>
      <w:r>
        <w:rPr>
          <w:spacing w:val="-7"/>
          <w:sz w:val="22"/>
        </w:rPr>
        <w:t> </w:t>
      </w:r>
      <w:r>
        <w:rPr>
          <w:sz w:val="22"/>
        </w:rPr>
        <w:t>weather’</w:t>
      </w:r>
      <w:r>
        <w:rPr>
          <w:spacing w:val="-3"/>
          <w:sz w:val="22"/>
        </w:rPr>
        <w:t> </w:t>
      </w:r>
      <w:r>
        <w:rPr>
          <w:sz w:val="22"/>
        </w:rPr>
        <w:t>pitch?</w:t>
        <w:tab/>
        <w:t>Yes</w:t>
        <w:tab/>
      </w:r>
      <w:r>
        <w:rPr>
          <w:rFonts w:ascii="Wingdings" w:hAnsi="Wingdings"/>
          <w:sz w:val="22"/>
        </w:rPr>
        <w:t></w:t>
        <w:tab/>
      </w:r>
      <w:r>
        <w:rPr>
          <w:sz w:val="22"/>
        </w:rPr>
        <w:t>No</w:t>
        <w:tab/>
      </w:r>
      <w:r>
        <w:rPr>
          <w:rFonts w:ascii="Wingdings" w:hAnsi="Wingdings"/>
          <w:sz w:val="22"/>
        </w:rPr>
        <w:t></w:t>
      </w:r>
    </w:p>
    <w:p>
      <w:pPr>
        <w:pStyle w:val="BodyText"/>
        <w:spacing w:before="2"/>
        <w:rPr>
          <w:rFonts w:ascii="Wingdings"/>
          <w:sz w:val="21"/>
        </w:rPr>
      </w:pPr>
    </w:p>
    <w:p>
      <w:pPr>
        <w:pStyle w:val="ListParagraph"/>
        <w:numPr>
          <w:ilvl w:val="0"/>
          <w:numId w:val="12"/>
        </w:numPr>
        <w:tabs>
          <w:tab w:pos="829" w:val="left" w:leader="none"/>
          <w:tab w:pos="830" w:val="left" w:leader="none"/>
          <w:tab w:pos="5870" w:val="left" w:leader="none"/>
          <w:tab w:pos="6591" w:val="left" w:leader="none"/>
          <w:tab w:pos="7311" w:val="left" w:leader="none"/>
          <w:tab w:pos="8031" w:val="left" w:leader="none"/>
        </w:tabs>
        <w:spacing w:line="240" w:lineRule="auto" w:before="1" w:after="0"/>
        <w:ind w:left="818" w:right="0" w:hanging="708"/>
        <w:jc w:val="left"/>
        <w:rPr>
          <w:rFonts w:ascii="Wingdings" w:hAnsi="Wingdings"/>
          <w:sz w:val="22"/>
        </w:rPr>
      </w:pPr>
      <w:r>
        <w:rPr>
          <w:sz w:val="22"/>
        </w:rPr>
        <w:t>Has your pitch a</w:t>
      </w:r>
      <w:r>
        <w:rPr>
          <w:spacing w:val="-12"/>
          <w:sz w:val="22"/>
        </w:rPr>
        <w:t> </w:t>
      </w:r>
      <w:r>
        <w:rPr>
          <w:sz w:val="22"/>
        </w:rPr>
        <w:t>spectator’s</w:t>
      </w:r>
      <w:r>
        <w:rPr>
          <w:spacing w:val="-5"/>
          <w:sz w:val="22"/>
        </w:rPr>
        <w:t> </w:t>
      </w:r>
      <w:r>
        <w:rPr>
          <w:sz w:val="22"/>
        </w:rPr>
        <w:t>facility?</w:t>
        <w:tab/>
        <w:t>Yes</w:t>
        <w:tab/>
      </w:r>
      <w:r>
        <w:rPr>
          <w:rFonts w:ascii="Wingdings" w:hAnsi="Wingdings"/>
          <w:sz w:val="22"/>
        </w:rPr>
        <w:t></w:t>
        <w:tab/>
      </w:r>
      <w:r>
        <w:rPr>
          <w:sz w:val="22"/>
        </w:rPr>
        <w:t>No</w:t>
        <w:tab/>
      </w:r>
      <w:r>
        <w:rPr>
          <w:rFonts w:ascii="Wingdings" w:hAnsi="Wingdings"/>
          <w:sz w:val="22"/>
        </w:rPr>
        <w:t></w:t>
      </w:r>
    </w:p>
    <w:p>
      <w:pPr>
        <w:pStyle w:val="BodyText"/>
        <w:spacing w:before="6"/>
        <w:rPr>
          <w:rFonts w:ascii="Wingdings"/>
          <w:sz w:val="21"/>
        </w:rPr>
      </w:pPr>
    </w:p>
    <w:p>
      <w:pPr>
        <w:pStyle w:val="ListParagraph"/>
        <w:numPr>
          <w:ilvl w:val="0"/>
          <w:numId w:val="12"/>
        </w:numPr>
        <w:tabs>
          <w:tab w:pos="829" w:val="left" w:leader="none"/>
          <w:tab w:pos="830" w:val="left" w:leader="none"/>
          <w:tab w:pos="5870" w:val="left" w:leader="none"/>
          <w:tab w:pos="6591" w:val="left" w:leader="none"/>
          <w:tab w:pos="7311" w:val="left" w:leader="none"/>
          <w:tab w:pos="8031" w:val="left" w:leader="none"/>
        </w:tabs>
        <w:spacing w:line="240" w:lineRule="auto" w:before="0" w:after="0"/>
        <w:ind w:left="818" w:right="0" w:hanging="708"/>
        <w:jc w:val="left"/>
        <w:rPr>
          <w:rFonts w:ascii="Wingdings" w:hAnsi="Wingdings"/>
          <w:sz w:val="22"/>
        </w:rPr>
      </w:pPr>
      <w:r>
        <w:rPr>
          <w:sz w:val="22"/>
        </w:rPr>
        <w:t>Is</w:t>
      </w:r>
      <w:r>
        <w:rPr>
          <w:spacing w:val="-3"/>
          <w:sz w:val="22"/>
        </w:rPr>
        <w:t> </w:t>
      </w:r>
      <w:r>
        <w:rPr>
          <w:sz w:val="22"/>
        </w:rPr>
        <w:t>there</w:t>
      </w:r>
      <w:r>
        <w:rPr>
          <w:spacing w:val="-5"/>
          <w:sz w:val="22"/>
        </w:rPr>
        <w:t> </w:t>
      </w:r>
      <w:r>
        <w:rPr>
          <w:sz w:val="22"/>
        </w:rPr>
        <w:t>floodlighting?</w:t>
        <w:tab/>
        <w:t>Yes</w:t>
        <w:tab/>
      </w:r>
      <w:r>
        <w:rPr>
          <w:rFonts w:ascii="Wingdings" w:hAnsi="Wingdings"/>
          <w:sz w:val="22"/>
        </w:rPr>
        <w:t></w:t>
        <w:tab/>
      </w:r>
      <w:r>
        <w:rPr>
          <w:sz w:val="22"/>
        </w:rPr>
        <w:t>No</w:t>
        <w:tab/>
      </w:r>
      <w:r>
        <w:rPr>
          <w:rFonts w:ascii="Wingdings" w:hAnsi="Wingdings"/>
          <w:sz w:val="22"/>
        </w:rPr>
        <w:t></w:t>
      </w:r>
    </w:p>
    <w:p>
      <w:pPr>
        <w:pStyle w:val="BodyText"/>
        <w:spacing w:before="3"/>
        <w:rPr>
          <w:rFonts w:ascii="Wingdings"/>
          <w:sz w:val="21"/>
        </w:rPr>
      </w:pPr>
    </w:p>
    <w:p>
      <w:pPr>
        <w:pStyle w:val="ListParagraph"/>
        <w:numPr>
          <w:ilvl w:val="0"/>
          <w:numId w:val="12"/>
        </w:numPr>
        <w:tabs>
          <w:tab w:pos="829" w:val="left" w:leader="none"/>
          <w:tab w:pos="830" w:val="left" w:leader="none"/>
          <w:tab w:pos="5870" w:val="left" w:leader="none"/>
          <w:tab w:pos="6653" w:val="left" w:leader="none"/>
          <w:tab w:pos="7311" w:val="left" w:leader="none"/>
          <w:tab w:pos="8031" w:val="left" w:leader="none"/>
        </w:tabs>
        <w:spacing w:line="240" w:lineRule="auto" w:before="0" w:after="0"/>
        <w:ind w:left="818" w:right="0" w:hanging="708"/>
        <w:jc w:val="left"/>
        <w:rPr>
          <w:rFonts w:ascii="Wingdings" w:hAnsi="Wingdings"/>
          <w:sz w:val="22"/>
        </w:rPr>
      </w:pPr>
      <w:r>
        <w:rPr>
          <w:sz w:val="22"/>
        </w:rPr>
        <w:t>Is there a walking/running track around</w:t>
      </w:r>
      <w:r>
        <w:rPr>
          <w:spacing w:val="-7"/>
          <w:sz w:val="22"/>
        </w:rPr>
        <w:t> </w:t>
      </w:r>
      <w:r>
        <w:rPr>
          <w:sz w:val="22"/>
        </w:rPr>
        <w:t>the</w:t>
      </w:r>
      <w:r>
        <w:rPr>
          <w:spacing w:val="-3"/>
          <w:sz w:val="22"/>
        </w:rPr>
        <w:t> </w:t>
      </w:r>
      <w:r>
        <w:rPr>
          <w:sz w:val="22"/>
        </w:rPr>
        <w:t>pitch?</w:t>
        <w:tab/>
        <w:t>Yes</w:t>
        <w:tab/>
      </w:r>
      <w:r>
        <w:rPr>
          <w:rFonts w:ascii="Wingdings" w:hAnsi="Wingdings"/>
          <w:sz w:val="22"/>
        </w:rPr>
        <w:t></w:t>
        <w:tab/>
      </w:r>
      <w:r>
        <w:rPr>
          <w:sz w:val="22"/>
        </w:rPr>
        <w:t>No</w:t>
        <w:tab/>
      </w:r>
      <w:r>
        <w:rPr>
          <w:rFonts w:ascii="Wingdings" w:hAnsi="Wingdings"/>
          <w:sz w:val="22"/>
        </w:rPr>
        <w:t></w:t>
      </w:r>
    </w:p>
    <w:p>
      <w:pPr>
        <w:pStyle w:val="BodyText"/>
        <w:spacing w:before="6"/>
        <w:rPr>
          <w:rFonts w:ascii="Wingdings"/>
          <w:sz w:val="21"/>
        </w:rPr>
      </w:pPr>
    </w:p>
    <w:p>
      <w:pPr>
        <w:pStyle w:val="ListParagraph"/>
        <w:numPr>
          <w:ilvl w:val="0"/>
          <w:numId w:val="12"/>
        </w:numPr>
        <w:tabs>
          <w:tab w:pos="817" w:val="left" w:leader="none"/>
          <w:tab w:pos="818" w:val="left" w:leader="none"/>
          <w:tab w:pos="2270" w:val="left" w:leader="none"/>
          <w:tab w:pos="2990" w:val="left" w:leader="none"/>
          <w:tab w:pos="5150" w:val="left" w:leader="none"/>
          <w:tab w:pos="5870" w:val="left" w:leader="none"/>
          <w:tab w:pos="7776" w:val="left" w:leader="none"/>
        </w:tabs>
        <w:spacing w:line="465" w:lineRule="auto" w:before="0" w:after="0"/>
        <w:ind w:left="818" w:right="1287" w:hanging="708"/>
        <w:jc w:val="left"/>
        <w:rPr>
          <w:sz w:val="22"/>
        </w:rPr>
      </w:pPr>
      <w:r>
        <w:rPr>
          <w:sz w:val="22"/>
        </w:rPr>
        <w:t>Please indicate other outdoor leisure/sporting facilities available: Playground</w:t>
        <w:tab/>
      </w:r>
      <w:r>
        <w:rPr>
          <w:rFonts w:ascii="Wingdings" w:hAnsi="Wingdings"/>
          <w:sz w:val="22"/>
        </w:rPr>
        <w:t></w:t>
        <w:tab/>
      </w:r>
      <w:r>
        <w:rPr>
          <w:sz w:val="22"/>
        </w:rPr>
        <w:t>Tennis</w:t>
      </w:r>
      <w:r>
        <w:rPr>
          <w:spacing w:val="-1"/>
          <w:sz w:val="22"/>
        </w:rPr>
        <w:t> </w:t>
      </w:r>
      <w:r>
        <w:rPr>
          <w:sz w:val="22"/>
        </w:rPr>
        <w:t>Court</w:t>
        <w:tab/>
      </w:r>
      <w:r>
        <w:rPr>
          <w:rFonts w:ascii="Wingdings" w:hAnsi="Wingdings"/>
          <w:sz w:val="22"/>
        </w:rPr>
        <w:t></w:t>
        <w:tab/>
      </w:r>
      <w:r>
        <w:rPr>
          <w:sz w:val="22"/>
        </w:rPr>
        <w:t>Handball</w:t>
      </w:r>
      <w:r>
        <w:rPr>
          <w:spacing w:val="-4"/>
          <w:sz w:val="22"/>
        </w:rPr>
        <w:t> </w:t>
      </w:r>
      <w:r>
        <w:rPr>
          <w:sz w:val="22"/>
        </w:rPr>
        <w:t>Alley</w:t>
      </w:r>
      <w:r>
        <w:rPr>
          <w:spacing w:val="-29"/>
          <w:sz w:val="22"/>
        </w:rPr>
        <w:t> </w:t>
      </w:r>
      <w:r>
        <w:rPr>
          <w:rFonts w:ascii="Wingdings" w:hAnsi="Wingdings"/>
          <w:sz w:val="22"/>
        </w:rPr>
        <w:t></w:t>
      </w:r>
      <w:r>
        <w:rPr>
          <w:rFonts w:ascii="Wingdings" w:hAnsi="Wingdings"/>
          <w:w w:val="100"/>
          <w:sz w:val="22"/>
        </w:rPr>
        <w:t> </w:t>
      </w:r>
      <w:r>
        <w:rPr>
          <w:sz w:val="22"/>
        </w:rPr>
        <w:t>Other, please</w:t>
      </w:r>
      <w:r>
        <w:rPr>
          <w:spacing w:val="-6"/>
          <w:sz w:val="22"/>
        </w:rPr>
        <w:t> </w:t>
      </w:r>
      <w:r>
        <w:rPr>
          <w:sz w:val="22"/>
        </w:rPr>
        <w:t>specify:</w:t>
      </w:r>
      <w:r>
        <w:rPr>
          <w:sz w:val="22"/>
          <w:u w:val="single"/>
        </w:rPr>
        <w:t> </w:t>
        <w:tab/>
        <w:tab/>
        <w:tab/>
      </w:r>
    </w:p>
    <w:p>
      <w:pPr>
        <w:pStyle w:val="BodyText"/>
        <w:rPr>
          <w:sz w:val="20"/>
        </w:rPr>
      </w:pPr>
    </w:p>
    <w:p>
      <w:pPr>
        <w:pStyle w:val="BodyText"/>
        <w:rPr>
          <w:sz w:val="23"/>
        </w:rPr>
      </w:pPr>
    </w:p>
    <w:p>
      <w:pPr>
        <w:pStyle w:val="ListParagraph"/>
        <w:numPr>
          <w:ilvl w:val="1"/>
          <w:numId w:val="11"/>
        </w:numPr>
        <w:tabs>
          <w:tab w:pos="649" w:val="left" w:leader="none"/>
          <w:tab w:pos="650" w:val="left" w:leader="none"/>
        </w:tabs>
        <w:spacing w:line="240" w:lineRule="auto" w:before="0" w:after="0"/>
        <w:ind w:left="650" w:right="0" w:hanging="540"/>
        <w:jc w:val="left"/>
        <w:rPr>
          <w:sz w:val="22"/>
        </w:rPr>
      </w:pPr>
      <w:r>
        <w:rPr>
          <w:sz w:val="22"/>
        </w:rPr>
        <w:t>Does the facility have access to the</w:t>
      </w:r>
      <w:r>
        <w:rPr>
          <w:spacing w:val="-13"/>
          <w:sz w:val="22"/>
        </w:rPr>
        <w:t> </w:t>
      </w:r>
      <w:r>
        <w:rPr>
          <w:sz w:val="22"/>
        </w:rPr>
        <w:t>following?</w:t>
      </w:r>
    </w:p>
    <w:p>
      <w:pPr>
        <w:pStyle w:val="BodyText"/>
        <w:spacing w:before="10"/>
        <w:rPr>
          <w:sz w:val="20"/>
        </w:rPr>
      </w:pPr>
    </w:p>
    <w:p>
      <w:pPr>
        <w:tabs>
          <w:tab w:pos="1711" w:val="left" w:leader="none"/>
          <w:tab w:pos="3872" w:val="left" w:leader="none"/>
          <w:tab w:pos="7472" w:val="left" w:leader="none"/>
        </w:tabs>
        <w:spacing w:before="0"/>
        <w:ind w:left="0" w:right="277" w:firstLine="0"/>
        <w:jc w:val="center"/>
        <w:rPr>
          <w:rFonts w:ascii="Wingdings" w:hAnsi="Wingdings"/>
          <w:sz w:val="22"/>
        </w:rPr>
      </w:pPr>
      <w:r>
        <w:rPr>
          <w:sz w:val="22"/>
        </w:rPr>
        <w:t>Toilets</w:t>
        <w:tab/>
      </w:r>
      <w:r>
        <w:rPr>
          <w:rFonts w:ascii="Wingdings" w:hAnsi="Wingdings"/>
          <w:sz w:val="22"/>
        </w:rPr>
        <w:t></w:t>
        <w:tab/>
      </w:r>
      <w:r>
        <w:rPr>
          <w:sz w:val="22"/>
        </w:rPr>
        <w:t>Accessible</w:t>
      </w:r>
      <w:r>
        <w:rPr>
          <w:spacing w:val="-1"/>
          <w:sz w:val="22"/>
        </w:rPr>
        <w:t> </w:t>
      </w:r>
      <w:r>
        <w:rPr>
          <w:sz w:val="22"/>
        </w:rPr>
        <w:t>Toilet</w:t>
        <w:tab/>
      </w:r>
      <w:r>
        <w:rPr>
          <w:rFonts w:ascii="Wingdings" w:hAnsi="Wingdings"/>
          <w:sz w:val="22"/>
        </w:rPr>
        <w:t></w:t>
      </w:r>
    </w:p>
    <w:p>
      <w:pPr>
        <w:pStyle w:val="BodyText"/>
        <w:spacing w:before="2"/>
        <w:rPr>
          <w:rFonts w:ascii="Wingdings"/>
          <w:sz w:val="21"/>
        </w:rPr>
      </w:pPr>
    </w:p>
    <w:p>
      <w:pPr>
        <w:tabs>
          <w:tab w:pos="2270" w:val="left" w:leader="none"/>
          <w:tab w:pos="4430" w:val="left" w:leader="none"/>
          <w:tab w:pos="8031" w:val="left" w:leader="none"/>
        </w:tabs>
        <w:spacing w:before="1"/>
        <w:ind w:left="601" w:right="0" w:firstLine="0"/>
        <w:jc w:val="left"/>
        <w:rPr>
          <w:rFonts w:ascii="Wingdings" w:hAnsi="Wingdings"/>
          <w:sz w:val="22"/>
        </w:rPr>
      </w:pPr>
      <w:r>
        <w:rPr>
          <w:sz w:val="22"/>
        </w:rPr>
        <w:t>Kitchen</w:t>
        <w:tab/>
      </w:r>
      <w:r>
        <w:rPr>
          <w:rFonts w:ascii="Wingdings" w:hAnsi="Wingdings"/>
          <w:sz w:val="22"/>
        </w:rPr>
        <w:t></w:t>
        <w:tab/>
      </w:r>
      <w:r>
        <w:rPr>
          <w:sz w:val="22"/>
        </w:rPr>
        <w:t>Furniture</w:t>
      </w:r>
      <w:r>
        <w:rPr>
          <w:spacing w:val="-4"/>
          <w:sz w:val="22"/>
        </w:rPr>
        <w:t> </w:t>
      </w:r>
      <w:r>
        <w:rPr>
          <w:sz w:val="22"/>
        </w:rPr>
        <w:t>(e.g:</w:t>
      </w:r>
      <w:r>
        <w:rPr>
          <w:spacing w:val="-2"/>
          <w:sz w:val="22"/>
        </w:rPr>
        <w:t> </w:t>
      </w:r>
      <w:r>
        <w:rPr>
          <w:sz w:val="22"/>
        </w:rPr>
        <w:t>chairs/tables)</w:t>
        <w:tab/>
      </w:r>
      <w:r>
        <w:rPr>
          <w:rFonts w:ascii="Wingdings" w:hAnsi="Wingdings"/>
          <w:sz w:val="22"/>
        </w:rPr>
        <w:t></w:t>
      </w:r>
    </w:p>
    <w:p>
      <w:pPr>
        <w:pStyle w:val="BodyText"/>
        <w:spacing w:before="6"/>
        <w:rPr>
          <w:rFonts w:ascii="Wingdings"/>
          <w:sz w:val="21"/>
        </w:rPr>
      </w:pPr>
    </w:p>
    <w:p>
      <w:pPr>
        <w:tabs>
          <w:tab w:pos="2270" w:val="left" w:leader="none"/>
          <w:tab w:pos="4430" w:val="left" w:leader="none"/>
          <w:tab w:pos="8031" w:val="left" w:leader="none"/>
        </w:tabs>
        <w:spacing w:before="0"/>
        <w:ind w:left="599" w:right="0" w:firstLine="0"/>
        <w:jc w:val="left"/>
        <w:rPr>
          <w:rFonts w:ascii="Wingdings" w:hAnsi="Wingdings"/>
          <w:sz w:val="22"/>
        </w:rPr>
      </w:pPr>
      <w:r>
        <w:rPr>
          <w:sz w:val="22"/>
        </w:rPr>
        <w:t>Gym</w:t>
        <w:tab/>
      </w:r>
      <w:r>
        <w:rPr>
          <w:rFonts w:ascii="Wingdings" w:hAnsi="Wingdings"/>
          <w:sz w:val="22"/>
        </w:rPr>
        <w:t></w:t>
        <w:tab/>
      </w:r>
      <w:r>
        <w:rPr>
          <w:sz w:val="22"/>
        </w:rPr>
        <w:t>Shower/ changing</w:t>
      </w:r>
      <w:r>
        <w:rPr>
          <w:spacing w:val="-4"/>
          <w:sz w:val="22"/>
        </w:rPr>
        <w:t> </w:t>
      </w:r>
      <w:r>
        <w:rPr>
          <w:sz w:val="22"/>
        </w:rPr>
        <w:t>facilities</w:t>
        <w:tab/>
      </w:r>
      <w:r>
        <w:rPr>
          <w:rFonts w:ascii="Wingdings" w:hAnsi="Wingdings"/>
          <w:sz w:val="22"/>
        </w:rPr>
        <w:t></w:t>
      </w:r>
    </w:p>
    <w:p>
      <w:pPr>
        <w:pStyle w:val="BodyText"/>
        <w:spacing w:before="3"/>
        <w:rPr>
          <w:rFonts w:ascii="Wingdings"/>
          <w:sz w:val="21"/>
        </w:rPr>
      </w:pPr>
    </w:p>
    <w:p>
      <w:pPr>
        <w:tabs>
          <w:tab w:pos="2270" w:val="left" w:leader="none"/>
          <w:tab w:pos="4430" w:val="left" w:leader="none"/>
          <w:tab w:pos="8031" w:val="left" w:leader="none"/>
        </w:tabs>
        <w:spacing w:before="0"/>
        <w:ind w:left="676" w:right="0" w:firstLine="0"/>
        <w:jc w:val="left"/>
        <w:rPr>
          <w:rFonts w:ascii="Wingdings" w:hAnsi="Wingdings"/>
          <w:sz w:val="22"/>
        </w:rPr>
      </w:pPr>
      <w:r>
        <w:rPr>
          <w:sz w:val="22"/>
        </w:rPr>
        <w:t>Stage</w:t>
        <w:tab/>
      </w:r>
      <w:r>
        <w:rPr>
          <w:rFonts w:ascii="Wingdings" w:hAnsi="Wingdings"/>
          <w:sz w:val="22"/>
        </w:rPr>
        <w:t></w:t>
        <w:tab/>
      </w:r>
      <w:r>
        <w:rPr>
          <w:sz w:val="22"/>
        </w:rPr>
        <w:t>Bar</w:t>
        <w:tab/>
      </w:r>
      <w:r>
        <w:rPr>
          <w:rFonts w:ascii="Wingdings" w:hAnsi="Wingdings"/>
          <w:sz w:val="22"/>
        </w:rPr>
        <w:t></w:t>
      </w:r>
    </w:p>
    <w:p>
      <w:pPr>
        <w:pStyle w:val="BodyText"/>
        <w:spacing w:before="5"/>
        <w:rPr>
          <w:rFonts w:ascii="Wingdings"/>
          <w:sz w:val="21"/>
        </w:rPr>
      </w:pPr>
    </w:p>
    <w:p>
      <w:pPr>
        <w:tabs>
          <w:tab w:pos="7818" w:val="left" w:leader="none"/>
        </w:tabs>
        <w:spacing w:before="1"/>
        <w:ind w:left="676" w:right="0" w:firstLine="0"/>
        <w:jc w:val="left"/>
        <w:rPr>
          <w:sz w:val="22"/>
        </w:rPr>
      </w:pPr>
      <w:r>
        <w:rPr>
          <w:sz w:val="22"/>
        </w:rPr>
        <w:t>Other, please</w:t>
      </w:r>
      <w:r>
        <w:rPr>
          <w:spacing w:val="-7"/>
          <w:sz w:val="22"/>
        </w:rPr>
        <w:t> </w:t>
      </w:r>
      <w:r>
        <w:rPr>
          <w:sz w:val="22"/>
        </w:rPr>
        <w:t>specify:</w:t>
      </w:r>
      <w:r>
        <w:rPr>
          <w:spacing w:val="1"/>
          <w:sz w:val="22"/>
        </w:rPr>
        <w:t> </w:t>
      </w:r>
      <w:r>
        <w:rPr>
          <w:w w:val="100"/>
          <w:sz w:val="22"/>
          <w:u w:val="single"/>
        </w:rPr>
        <w:t> </w:t>
      </w:r>
      <w:r>
        <w:rPr>
          <w:sz w:val="22"/>
          <w:u w:val="single"/>
        </w:rPr>
        <w:tab/>
      </w:r>
    </w:p>
    <w:p>
      <w:pPr>
        <w:spacing w:after="0"/>
        <w:jc w:val="left"/>
        <w:rPr>
          <w:sz w:val="22"/>
        </w:rPr>
        <w:sectPr>
          <w:headerReference w:type="default" r:id="rId50"/>
          <w:footerReference w:type="default" r:id="rId51"/>
          <w:pgSz w:w="11910" w:h="17340"/>
          <w:pgMar w:header="759" w:footer="0" w:top="940" w:bottom="280" w:left="1460" w:right="1380"/>
        </w:sectPr>
      </w:pPr>
    </w:p>
    <w:p>
      <w:pPr>
        <w:pStyle w:val="BodyText"/>
        <w:spacing w:before="3"/>
        <w:rPr>
          <w:sz w:val="15"/>
        </w:rPr>
      </w:pPr>
    </w:p>
    <w:p>
      <w:pPr>
        <w:pStyle w:val="ListParagraph"/>
        <w:numPr>
          <w:ilvl w:val="1"/>
          <w:numId w:val="11"/>
        </w:numPr>
        <w:tabs>
          <w:tab w:pos="869" w:val="left" w:leader="none"/>
          <w:tab w:pos="870" w:val="left" w:leader="none"/>
          <w:tab w:pos="5315" w:val="left" w:leader="none"/>
          <w:tab w:pos="5910" w:val="left" w:leader="none"/>
          <w:tab w:pos="6631" w:val="left" w:leader="none"/>
          <w:tab w:pos="7351" w:val="left" w:leader="none"/>
        </w:tabs>
        <w:spacing w:line="240" w:lineRule="auto" w:before="94" w:after="0"/>
        <w:ind w:left="870" w:right="0" w:hanging="720"/>
        <w:jc w:val="left"/>
        <w:rPr>
          <w:rFonts w:ascii="Wingdings" w:hAnsi="Wingdings"/>
          <w:sz w:val="22"/>
        </w:rPr>
      </w:pPr>
      <w:r>
        <w:rPr>
          <w:sz w:val="22"/>
        </w:rPr>
        <w:t>Can the facility provide catering</w:t>
      </w:r>
      <w:r>
        <w:rPr>
          <w:spacing w:val="-8"/>
          <w:sz w:val="22"/>
        </w:rPr>
        <w:t> </w:t>
      </w:r>
      <w:r>
        <w:rPr>
          <w:sz w:val="22"/>
        </w:rPr>
        <w:t>if needed?</w:t>
        <w:tab/>
        <w:t>Yes</w:t>
        <w:tab/>
      </w:r>
      <w:r>
        <w:rPr>
          <w:rFonts w:ascii="Wingdings" w:hAnsi="Wingdings"/>
          <w:sz w:val="22"/>
        </w:rPr>
        <w:t></w:t>
        <w:tab/>
      </w:r>
      <w:r>
        <w:rPr>
          <w:sz w:val="22"/>
        </w:rPr>
        <w:t>No</w:t>
        <w:tab/>
      </w:r>
      <w:r>
        <w:rPr>
          <w:rFonts w:ascii="Wingdings" w:hAnsi="Wingdings"/>
          <w:sz w:val="22"/>
        </w:rPr>
        <w:t></w:t>
      </w:r>
    </w:p>
    <w:p>
      <w:pPr>
        <w:pStyle w:val="BodyText"/>
        <w:rPr>
          <w:rFonts w:ascii="Wingdings"/>
        </w:rPr>
      </w:pPr>
    </w:p>
    <w:p>
      <w:pPr>
        <w:pStyle w:val="BodyText"/>
        <w:rPr>
          <w:rFonts w:ascii="Wingdings"/>
        </w:rPr>
      </w:pPr>
    </w:p>
    <w:p>
      <w:pPr>
        <w:pStyle w:val="ListParagraph"/>
        <w:numPr>
          <w:ilvl w:val="1"/>
          <w:numId w:val="11"/>
        </w:numPr>
        <w:tabs>
          <w:tab w:pos="869" w:val="left" w:leader="none"/>
          <w:tab w:pos="870" w:val="left" w:leader="none"/>
        </w:tabs>
        <w:spacing w:line="240" w:lineRule="auto" w:before="196" w:after="0"/>
        <w:ind w:left="870" w:right="0" w:hanging="720"/>
        <w:jc w:val="left"/>
        <w:rPr>
          <w:b/>
          <w:sz w:val="22"/>
        </w:rPr>
      </w:pPr>
      <w:r>
        <w:rPr>
          <w:b/>
          <w:sz w:val="22"/>
        </w:rPr>
        <w:t>Car Parking &amp;</w:t>
      </w:r>
      <w:r>
        <w:rPr>
          <w:b/>
          <w:spacing w:val="-4"/>
          <w:sz w:val="22"/>
        </w:rPr>
        <w:t> </w:t>
      </w:r>
      <w:r>
        <w:rPr>
          <w:b/>
          <w:sz w:val="22"/>
        </w:rPr>
        <w:t>Transport</w:t>
      </w:r>
    </w:p>
    <w:p>
      <w:pPr>
        <w:pStyle w:val="BodyText"/>
        <w:spacing w:before="6"/>
        <w:rPr>
          <w:b/>
          <w:sz w:val="20"/>
        </w:rPr>
      </w:pPr>
    </w:p>
    <w:p>
      <w:pPr>
        <w:tabs>
          <w:tab w:pos="869" w:val="left" w:leader="none"/>
        </w:tabs>
        <w:spacing w:before="0"/>
        <w:ind w:left="150" w:right="0" w:firstLine="0"/>
        <w:jc w:val="left"/>
        <w:rPr>
          <w:sz w:val="22"/>
        </w:rPr>
      </w:pPr>
      <w:r>
        <w:rPr>
          <w:b/>
          <w:sz w:val="22"/>
        </w:rPr>
        <w:t>(a)</w:t>
        <w:tab/>
      </w:r>
      <w:r>
        <w:rPr>
          <w:sz w:val="22"/>
        </w:rPr>
        <w:t>Number of parking spaces provided at the</w:t>
      </w:r>
      <w:r>
        <w:rPr>
          <w:spacing w:val="-15"/>
          <w:sz w:val="22"/>
        </w:rPr>
        <w:t> </w:t>
      </w:r>
      <w:r>
        <w:rPr>
          <w:sz w:val="22"/>
        </w:rPr>
        <w:t>facility?</w:t>
      </w:r>
    </w:p>
    <w:p>
      <w:pPr>
        <w:pStyle w:val="BodyText"/>
        <w:spacing w:before="6"/>
        <w:rPr>
          <w:sz w:val="21"/>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9"/>
        <w:gridCol w:w="1124"/>
        <w:gridCol w:w="3679"/>
        <w:gridCol w:w="880"/>
        <w:gridCol w:w="1359"/>
        <w:gridCol w:w="467"/>
      </w:tblGrid>
      <w:tr>
        <w:trPr>
          <w:trHeight w:val="360" w:hRule="atLeast"/>
        </w:trPr>
        <w:tc>
          <w:tcPr>
            <w:tcW w:w="1833" w:type="dxa"/>
            <w:gridSpan w:val="2"/>
          </w:tcPr>
          <w:p>
            <w:pPr>
              <w:pStyle w:val="TableParagraph"/>
              <w:spacing w:line="247" w:lineRule="exact"/>
              <w:ind w:left="769"/>
              <w:rPr>
                <w:sz w:val="22"/>
              </w:rPr>
            </w:pPr>
            <w:r>
              <w:rPr>
                <w:sz w:val="22"/>
              </w:rPr>
              <w:t>0 - 10</w:t>
            </w:r>
          </w:p>
        </w:tc>
        <w:tc>
          <w:tcPr>
            <w:tcW w:w="5918" w:type="dxa"/>
            <w:gridSpan w:val="3"/>
          </w:tcPr>
          <w:p>
            <w:pPr>
              <w:pStyle w:val="TableParagraph"/>
              <w:tabs>
                <w:tab w:pos="4698" w:val="left" w:leader="none"/>
              </w:tabs>
              <w:spacing w:line="247" w:lineRule="exact"/>
              <w:ind w:left="377"/>
              <w:rPr>
                <w:sz w:val="22"/>
              </w:rPr>
            </w:pPr>
            <w:r>
              <w:rPr>
                <w:rFonts w:ascii="Wingdings" w:hAnsi="Wingdings"/>
                <w:sz w:val="22"/>
              </w:rPr>
              <w:t></w:t>
              <w:tab/>
            </w:r>
            <w:r>
              <w:rPr>
                <w:sz w:val="22"/>
              </w:rPr>
              <w:t>51 -</w:t>
            </w:r>
            <w:r>
              <w:rPr>
                <w:spacing w:val="-3"/>
                <w:sz w:val="22"/>
              </w:rPr>
              <w:t> </w:t>
            </w:r>
            <w:r>
              <w:rPr>
                <w:sz w:val="22"/>
              </w:rPr>
              <w:t>99</w:t>
            </w:r>
          </w:p>
        </w:tc>
        <w:tc>
          <w:tcPr>
            <w:tcW w:w="467" w:type="dxa"/>
          </w:tcPr>
          <w:p>
            <w:pPr>
              <w:pStyle w:val="TableParagraph"/>
              <w:spacing w:line="240" w:lineRule="auto" w:before="2"/>
              <w:ind w:right="48"/>
              <w:jc w:val="right"/>
              <w:rPr>
                <w:rFonts w:ascii="Wingdings" w:hAnsi="Wingdings"/>
                <w:sz w:val="22"/>
              </w:rPr>
            </w:pPr>
            <w:r>
              <w:rPr>
                <w:rFonts w:ascii="Wingdings" w:hAnsi="Wingdings"/>
                <w:w w:val="100"/>
                <w:sz w:val="22"/>
              </w:rPr>
              <w:t></w:t>
            </w:r>
          </w:p>
        </w:tc>
      </w:tr>
      <w:tr>
        <w:trPr>
          <w:trHeight w:val="480" w:hRule="atLeast"/>
        </w:trPr>
        <w:tc>
          <w:tcPr>
            <w:tcW w:w="1833" w:type="dxa"/>
            <w:gridSpan w:val="2"/>
          </w:tcPr>
          <w:p>
            <w:pPr>
              <w:pStyle w:val="TableParagraph"/>
              <w:spacing w:line="240" w:lineRule="auto" w:before="115"/>
              <w:ind w:left="769"/>
              <w:rPr>
                <w:sz w:val="22"/>
              </w:rPr>
            </w:pPr>
            <w:r>
              <w:rPr>
                <w:sz w:val="22"/>
              </w:rPr>
              <w:t>11 - 50</w:t>
            </w:r>
          </w:p>
        </w:tc>
        <w:tc>
          <w:tcPr>
            <w:tcW w:w="5918" w:type="dxa"/>
            <w:gridSpan w:val="3"/>
          </w:tcPr>
          <w:p>
            <w:pPr>
              <w:pStyle w:val="TableParagraph"/>
              <w:tabs>
                <w:tab w:pos="4698" w:val="left" w:leader="none"/>
              </w:tabs>
              <w:spacing w:line="240" w:lineRule="auto" w:before="115"/>
              <w:ind w:left="377"/>
              <w:rPr>
                <w:sz w:val="22"/>
              </w:rPr>
            </w:pPr>
            <w:r>
              <w:rPr>
                <w:rFonts w:ascii="Wingdings" w:hAnsi="Wingdings"/>
                <w:sz w:val="22"/>
              </w:rPr>
              <w:t></w:t>
              <w:tab/>
            </w:r>
            <w:r>
              <w:rPr>
                <w:sz w:val="22"/>
              </w:rPr>
              <w:t>100+</w:t>
            </w:r>
          </w:p>
        </w:tc>
        <w:tc>
          <w:tcPr>
            <w:tcW w:w="467" w:type="dxa"/>
          </w:tcPr>
          <w:p>
            <w:pPr>
              <w:pStyle w:val="TableParagraph"/>
              <w:spacing w:line="240" w:lineRule="auto" w:before="123"/>
              <w:ind w:right="48"/>
              <w:jc w:val="right"/>
              <w:rPr>
                <w:rFonts w:ascii="Wingdings" w:hAnsi="Wingdings"/>
                <w:sz w:val="22"/>
              </w:rPr>
            </w:pPr>
            <w:r>
              <w:rPr>
                <w:rFonts w:ascii="Wingdings" w:hAnsi="Wingdings"/>
                <w:w w:val="100"/>
                <w:sz w:val="22"/>
              </w:rPr>
              <w:t></w:t>
            </w:r>
          </w:p>
        </w:tc>
      </w:tr>
      <w:tr>
        <w:trPr>
          <w:trHeight w:val="480" w:hRule="atLeast"/>
        </w:trPr>
        <w:tc>
          <w:tcPr>
            <w:tcW w:w="709" w:type="dxa"/>
          </w:tcPr>
          <w:p>
            <w:pPr>
              <w:pStyle w:val="TableParagraph"/>
              <w:spacing w:line="240" w:lineRule="auto" w:before="115"/>
              <w:ind w:left="50"/>
              <w:rPr>
                <w:b/>
                <w:sz w:val="22"/>
              </w:rPr>
            </w:pPr>
            <w:r>
              <w:rPr>
                <w:b/>
                <w:sz w:val="22"/>
              </w:rPr>
              <w:t>(b)</w:t>
            </w:r>
          </w:p>
        </w:tc>
        <w:tc>
          <w:tcPr>
            <w:tcW w:w="4803" w:type="dxa"/>
            <w:gridSpan w:val="2"/>
          </w:tcPr>
          <w:p>
            <w:pPr>
              <w:pStyle w:val="TableParagraph"/>
              <w:spacing w:line="240" w:lineRule="auto" w:before="115"/>
              <w:ind w:left="60"/>
              <w:rPr>
                <w:sz w:val="22"/>
              </w:rPr>
            </w:pPr>
            <w:r>
              <w:rPr>
                <w:sz w:val="22"/>
              </w:rPr>
              <w:t>Is bus parking provided?</w:t>
            </w:r>
          </w:p>
        </w:tc>
        <w:tc>
          <w:tcPr>
            <w:tcW w:w="880" w:type="dxa"/>
          </w:tcPr>
          <w:p>
            <w:pPr>
              <w:pStyle w:val="TableParagraph"/>
              <w:spacing w:line="240" w:lineRule="auto" w:before="115"/>
              <w:ind w:right="199"/>
              <w:jc w:val="right"/>
              <w:rPr>
                <w:sz w:val="22"/>
              </w:rPr>
            </w:pPr>
            <w:r>
              <w:rPr>
                <w:sz w:val="22"/>
              </w:rPr>
              <w:t>Yes</w:t>
            </w:r>
          </w:p>
        </w:tc>
        <w:tc>
          <w:tcPr>
            <w:tcW w:w="1359" w:type="dxa"/>
          </w:tcPr>
          <w:p>
            <w:pPr>
              <w:pStyle w:val="TableParagraph"/>
              <w:tabs>
                <w:tab w:pos="859" w:val="left" w:leader="none"/>
              </w:tabs>
              <w:spacing w:line="240" w:lineRule="auto" w:before="115"/>
              <w:ind w:left="139"/>
              <w:rPr>
                <w:sz w:val="22"/>
              </w:rPr>
            </w:pPr>
            <w:r>
              <w:rPr>
                <w:rFonts w:ascii="Wingdings" w:hAnsi="Wingdings"/>
                <w:sz w:val="22"/>
              </w:rPr>
              <w:t></w:t>
              <w:tab/>
            </w:r>
            <w:r>
              <w:rPr>
                <w:sz w:val="22"/>
              </w:rPr>
              <w:t>No</w:t>
            </w:r>
          </w:p>
        </w:tc>
        <w:tc>
          <w:tcPr>
            <w:tcW w:w="467" w:type="dxa"/>
          </w:tcPr>
          <w:p>
            <w:pPr>
              <w:pStyle w:val="TableParagraph"/>
              <w:spacing w:line="240" w:lineRule="auto" w:before="123"/>
              <w:ind w:right="48"/>
              <w:jc w:val="right"/>
              <w:rPr>
                <w:rFonts w:ascii="Wingdings" w:hAnsi="Wingdings"/>
                <w:sz w:val="22"/>
              </w:rPr>
            </w:pPr>
            <w:r>
              <w:rPr>
                <w:rFonts w:ascii="Wingdings" w:hAnsi="Wingdings"/>
                <w:w w:val="100"/>
                <w:sz w:val="22"/>
              </w:rPr>
              <w:t></w:t>
            </w:r>
          </w:p>
        </w:tc>
      </w:tr>
      <w:tr>
        <w:trPr>
          <w:trHeight w:val="480" w:hRule="atLeast"/>
        </w:trPr>
        <w:tc>
          <w:tcPr>
            <w:tcW w:w="709" w:type="dxa"/>
          </w:tcPr>
          <w:p>
            <w:pPr>
              <w:pStyle w:val="TableParagraph"/>
              <w:spacing w:line="240" w:lineRule="auto" w:before="115"/>
              <w:ind w:left="50"/>
              <w:rPr>
                <w:b/>
                <w:sz w:val="22"/>
              </w:rPr>
            </w:pPr>
            <w:r>
              <w:rPr>
                <w:b/>
                <w:sz w:val="22"/>
              </w:rPr>
              <w:t>(c)</w:t>
            </w:r>
          </w:p>
        </w:tc>
        <w:tc>
          <w:tcPr>
            <w:tcW w:w="4803" w:type="dxa"/>
            <w:gridSpan w:val="2"/>
          </w:tcPr>
          <w:p>
            <w:pPr>
              <w:pStyle w:val="TableParagraph"/>
              <w:spacing w:line="240" w:lineRule="auto" w:before="115"/>
              <w:ind w:left="39"/>
              <w:rPr>
                <w:sz w:val="22"/>
              </w:rPr>
            </w:pPr>
            <w:r>
              <w:rPr>
                <w:sz w:val="22"/>
              </w:rPr>
              <w:t>Is your facility serviced by public transport?</w:t>
            </w:r>
          </w:p>
        </w:tc>
        <w:tc>
          <w:tcPr>
            <w:tcW w:w="880" w:type="dxa"/>
          </w:tcPr>
          <w:p>
            <w:pPr>
              <w:pStyle w:val="TableParagraph"/>
              <w:spacing w:line="240" w:lineRule="auto" w:before="115"/>
              <w:ind w:right="199"/>
              <w:jc w:val="right"/>
              <w:rPr>
                <w:sz w:val="22"/>
              </w:rPr>
            </w:pPr>
            <w:r>
              <w:rPr>
                <w:sz w:val="22"/>
              </w:rPr>
              <w:t>Yes</w:t>
            </w:r>
          </w:p>
        </w:tc>
        <w:tc>
          <w:tcPr>
            <w:tcW w:w="1359" w:type="dxa"/>
          </w:tcPr>
          <w:p>
            <w:pPr>
              <w:pStyle w:val="TableParagraph"/>
              <w:tabs>
                <w:tab w:pos="859" w:val="left" w:leader="none"/>
              </w:tabs>
              <w:spacing w:line="240" w:lineRule="auto" w:before="115"/>
              <w:ind w:left="139"/>
              <w:rPr>
                <w:sz w:val="22"/>
              </w:rPr>
            </w:pPr>
            <w:r>
              <w:rPr>
                <w:rFonts w:ascii="Wingdings" w:hAnsi="Wingdings"/>
                <w:sz w:val="22"/>
              </w:rPr>
              <w:t></w:t>
              <w:tab/>
            </w:r>
            <w:r>
              <w:rPr>
                <w:sz w:val="22"/>
              </w:rPr>
              <w:t>No</w:t>
            </w:r>
          </w:p>
        </w:tc>
        <w:tc>
          <w:tcPr>
            <w:tcW w:w="467" w:type="dxa"/>
          </w:tcPr>
          <w:p>
            <w:pPr>
              <w:pStyle w:val="TableParagraph"/>
              <w:spacing w:line="240" w:lineRule="auto" w:before="124"/>
              <w:ind w:right="48"/>
              <w:jc w:val="right"/>
              <w:rPr>
                <w:rFonts w:ascii="Wingdings" w:hAnsi="Wingdings"/>
                <w:sz w:val="22"/>
              </w:rPr>
            </w:pPr>
            <w:r>
              <w:rPr>
                <w:rFonts w:ascii="Wingdings" w:hAnsi="Wingdings"/>
                <w:w w:val="100"/>
                <w:sz w:val="22"/>
              </w:rPr>
              <w:t></w:t>
            </w:r>
          </w:p>
        </w:tc>
      </w:tr>
      <w:tr>
        <w:trPr>
          <w:trHeight w:val="720" w:hRule="atLeast"/>
        </w:trPr>
        <w:tc>
          <w:tcPr>
            <w:tcW w:w="709" w:type="dxa"/>
          </w:tcPr>
          <w:p>
            <w:pPr>
              <w:pStyle w:val="TableParagraph"/>
              <w:spacing w:line="240" w:lineRule="auto" w:before="116"/>
              <w:ind w:left="50"/>
              <w:rPr>
                <w:b/>
                <w:sz w:val="22"/>
              </w:rPr>
            </w:pPr>
            <w:r>
              <w:rPr>
                <w:b/>
                <w:sz w:val="22"/>
              </w:rPr>
              <w:t>(d)</w:t>
            </w:r>
          </w:p>
        </w:tc>
        <w:tc>
          <w:tcPr>
            <w:tcW w:w="4803" w:type="dxa"/>
            <w:gridSpan w:val="2"/>
          </w:tcPr>
          <w:p>
            <w:pPr>
              <w:pStyle w:val="TableParagraph"/>
              <w:spacing w:line="240" w:lineRule="auto" w:before="116"/>
              <w:ind w:left="60"/>
              <w:rPr>
                <w:sz w:val="22"/>
              </w:rPr>
            </w:pPr>
            <w:r>
              <w:rPr>
                <w:sz w:val="22"/>
              </w:rPr>
              <w:t>Does your facility have its own bus?</w:t>
            </w:r>
          </w:p>
        </w:tc>
        <w:tc>
          <w:tcPr>
            <w:tcW w:w="880" w:type="dxa"/>
          </w:tcPr>
          <w:p>
            <w:pPr>
              <w:pStyle w:val="TableParagraph"/>
              <w:spacing w:line="240" w:lineRule="auto" w:before="116"/>
              <w:ind w:right="199"/>
              <w:jc w:val="right"/>
              <w:rPr>
                <w:sz w:val="22"/>
              </w:rPr>
            </w:pPr>
            <w:r>
              <w:rPr>
                <w:sz w:val="22"/>
              </w:rPr>
              <w:t>Yes</w:t>
            </w:r>
          </w:p>
        </w:tc>
        <w:tc>
          <w:tcPr>
            <w:tcW w:w="1359" w:type="dxa"/>
          </w:tcPr>
          <w:p>
            <w:pPr>
              <w:pStyle w:val="TableParagraph"/>
              <w:tabs>
                <w:tab w:pos="859" w:val="left" w:leader="none"/>
              </w:tabs>
              <w:spacing w:line="240" w:lineRule="auto" w:before="116"/>
              <w:ind w:left="139"/>
              <w:rPr>
                <w:sz w:val="22"/>
              </w:rPr>
            </w:pPr>
            <w:r>
              <w:rPr>
                <w:rFonts w:ascii="Wingdings" w:hAnsi="Wingdings"/>
                <w:sz w:val="22"/>
              </w:rPr>
              <w:t></w:t>
              <w:tab/>
            </w:r>
            <w:r>
              <w:rPr>
                <w:sz w:val="22"/>
              </w:rPr>
              <w:t>No</w:t>
            </w:r>
          </w:p>
        </w:tc>
        <w:tc>
          <w:tcPr>
            <w:tcW w:w="467" w:type="dxa"/>
          </w:tcPr>
          <w:p>
            <w:pPr>
              <w:pStyle w:val="TableParagraph"/>
              <w:spacing w:line="240" w:lineRule="auto" w:before="124"/>
              <w:ind w:right="48"/>
              <w:jc w:val="right"/>
              <w:rPr>
                <w:rFonts w:ascii="Wingdings" w:hAnsi="Wingdings"/>
                <w:sz w:val="22"/>
              </w:rPr>
            </w:pPr>
            <w:r>
              <w:rPr>
                <w:rFonts w:ascii="Wingdings" w:hAnsi="Wingdings"/>
                <w:w w:val="100"/>
                <w:sz w:val="22"/>
              </w:rPr>
              <w:t></w:t>
            </w:r>
          </w:p>
        </w:tc>
      </w:tr>
      <w:tr>
        <w:trPr>
          <w:trHeight w:val="1100" w:hRule="atLeast"/>
        </w:trPr>
        <w:tc>
          <w:tcPr>
            <w:tcW w:w="709" w:type="dxa"/>
          </w:tcPr>
          <w:p>
            <w:pPr>
              <w:pStyle w:val="TableParagraph"/>
              <w:spacing w:line="240" w:lineRule="auto" w:before="4"/>
              <w:rPr>
                <w:sz w:val="31"/>
              </w:rPr>
            </w:pPr>
          </w:p>
          <w:p>
            <w:pPr>
              <w:pStyle w:val="TableParagraph"/>
              <w:spacing w:line="240" w:lineRule="auto"/>
              <w:ind w:left="50"/>
              <w:rPr>
                <w:b/>
                <w:sz w:val="22"/>
              </w:rPr>
            </w:pPr>
            <w:r>
              <w:rPr>
                <w:b/>
                <w:sz w:val="22"/>
              </w:rPr>
              <w:t>2.7</w:t>
            </w:r>
          </w:p>
        </w:tc>
        <w:tc>
          <w:tcPr>
            <w:tcW w:w="4803" w:type="dxa"/>
            <w:gridSpan w:val="2"/>
          </w:tcPr>
          <w:p>
            <w:pPr>
              <w:pStyle w:val="TableParagraph"/>
              <w:spacing w:line="490" w:lineRule="atLeast" w:before="124"/>
              <w:ind w:left="60" w:right="283"/>
              <w:rPr>
                <w:sz w:val="22"/>
              </w:rPr>
            </w:pPr>
            <w:r>
              <w:rPr>
                <w:sz w:val="22"/>
              </w:rPr>
              <w:t>Does your facility have access to broadband? If yes, is Wifi available?</w:t>
            </w:r>
          </w:p>
        </w:tc>
        <w:tc>
          <w:tcPr>
            <w:tcW w:w="880" w:type="dxa"/>
          </w:tcPr>
          <w:p>
            <w:pPr>
              <w:pStyle w:val="TableParagraph"/>
              <w:spacing w:line="490" w:lineRule="atLeast" w:before="124"/>
              <w:ind w:left="361" w:right="119"/>
              <w:rPr>
                <w:sz w:val="22"/>
              </w:rPr>
            </w:pPr>
            <w:r>
              <w:rPr>
                <w:sz w:val="22"/>
              </w:rPr>
              <w:t>Yes Yes</w:t>
            </w:r>
          </w:p>
        </w:tc>
        <w:tc>
          <w:tcPr>
            <w:tcW w:w="1359" w:type="dxa"/>
          </w:tcPr>
          <w:p>
            <w:pPr>
              <w:pStyle w:val="TableParagraph"/>
              <w:spacing w:line="240" w:lineRule="auto" w:before="4"/>
              <w:rPr>
                <w:sz w:val="31"/>
              </w:rPr>
            </w:pPr>
          </w:p>
          <w:p>
            <w:pPr>
              <w:pStyle w:val="TableParagraph"/>
              <w:numPr>
                <w:ilvl w:val="0"/>
                <w:numId w:val="13"/>
              </w:numPr>
              <w:tabs>
                <w:tab w:pos="859" w:val="left" w:leader="none"/>
                <w:tab w:pos="860" w:val="left" w:leader="none"/>
              </w:tabs>
              <w:spacing w:line="240" w:lineRule="auto" w:before="0" w:after="0"/>
              <w:ind w:left="859" w:right="0" w:hanging="658"/>
              <w:jc w:val="left"/>
              <w:rPr>
                <w:sz w:val="22"/>
              </w:rPr>
            </w:pPr>
            <w:r>
              <w:rPr>
                <w:sz w:val="22"/>
              </w:rPr>
              <w:t>No</w:t>
            </w:r>
          </w:p>
          <w:p>
            <w:pPr>
              <w:pStyle w:val="TableParagraph"/>
              <w:spacing w:line="240" w:lineRule="auto" w:before="10"/>
              <w:rPr>
                <w:sz w:val="20"/>
              </w:rPr>
            </w:pPr>
          </w:p>
          <w:p>
            <w:pPr>
              <w:pStyle w:val="TableParagraph"/>
              <w:numPr>
                <w:ilvl w:val="0"/>
                <w:numId w:val="13"/>
              </w:numPr>
              <w:tabs>
                <w:tab w:pos="859" w:val="left" w:leader="none"/>
                <w:tab w:pos="860" w:val="left" w:leader="none"/>
              </w:tabs>
              <w:spacing w:line="233" w:lineRule="exact" w:before="1" w:after="0"/>
              <w:ind w:left="859" w:right="0" w:hanging="720"/>
              <w:jc w:val="left"/>
              <w:rPr>
                <w:sz w:val="22"/>
              </w:rPr>
            </w:pPr>
            <w:r>
              <w:rPr>
                <w:sz w:val="22"/>
              </w:rPr>
              <w:t>No</w:t>
            </w:r>
          </w:p>
        </w:tc>
        <w:tc>
          <w:tcPr>
            <w:tcW w:w="467" w:type="dxa"/>
          </w:tcPr>
          <w:p>
            <w:pPr>
              <w:pStyle w:val="TableParagraph"/>
              <w:spacing w:line="240" w:lineRule="auto" w:before="1"/>
              <w:rPr>
                <w:sz w:val="32"/>
              </w:rPr>
            </w:pPr>
          </w:p>
          <w:p>
            <w:pPr>
              <w:pStyle w:val="TableParagraph"/>
              <w:spacing w:line="240" w:lineRule="auto"/>
              <w:ind w:left="219"/>
              <w:rPr>
                <w:rFonts w:ascii="Wingdings" w:hAnsi="Wingdings"/>
                <w:sz w:val="22"/>
              </w:rPr>
            </w:pPr>
            <w:r>
              <w:rPr>
                <w:rFonts w:ascii="Wingdings" w:hAnsi="Wingdings"/>
                <w:w w:val="100"/>
                <w:sz w:val="22"/>
              </w:rPr>
              <w:t></w:t>
            </w:r>
          </w:p>
          <w:p>
            <w:pPr>
              <w:pStyle w:val="TableParagraph"/>
              <w:spacing w:line="240" w:lineRule="auto" w:before="8"/>
              <w:rPr>
                <w:sz w:val="21"/>
              </w:rPr>
            </w:pPr>
          </w:p>
          <w:p>
            <w:pPr>
              <w:pStyle w:val="TableParagraph"/>
              <w:spacing w:line="225" w:lineRule="exact"/>
              <w:ind w:left="219"/>
              <w:rPr>
                <w:rFonts w:ascii="Wingdings" w:hAnsi="Wingdings"/>
                <w:sz w:val="22"/>
              </w:rPr>
            </w:pPr>
            <w:r>
              <w:rPr>
                <w:rFonts w:ascii="Wingdings" w:hAnsi="Wingdings"/>
                <w:w w:val="100"/>
                <w:sz w:val="22"/>
              </w:rPr>
              <w:t></w:t>
            </w:r>
          </w:p>
        </w:tc>
      </w:tr>
    </w:tbl>
    <w:p>
      <w:pPr>
        <w:pStyle w:val="BodyText"/>
      </w:pPr>
    </w:p>
    <w:p>
      <w:pPr>
        <w:pStyle w:val="BodyText"/>
      </w:pPr>
    </w:p>
    <w:p>
      <w:pPr>
        <w:pStyle w:val="BodyText"/>
        <w:spacing w:before="4"/>
        <w:rPr>
          <w:sz w:val="22"/>
        </w:rPr>
      </w:pPr>
    </w:p>
    <w:p>
      <w:pPr>
        <w:pStyle w:val="Heading2"/>
        <w:spacing w:before="1"/>
      </w:pPr>
      <w:r>
        <w:rPr/>
        <w:t>SECTION 3: Ownership / Management</w:t>
      </w:r>
    </w:p>
    <w:p>
      <w:pPr>
        <w:pStyle w:val="BodyText"/>
        <w:rPr>
          <w:b/>
          <w:sz w:val="36"/>
        </w:rPr>
      </w:pPr>
    </w:p>
    <w:p>
      <w:pPr>
        <w:pStyle w:val="BodyText"/>
        <w:spacing w:before="11"/>
        <w:rPr>
          <w:b/>
          <w:sz w:val="30"/>
        </w:rPr>
      </w:pPr>
    </w:p>
    <w:p>
      <w:pPr>
        <w:tabs>
          <w:tab w:pos="869" w:val="left" w:leader="none"/>
          <w:tab w:pos="4470" w:val="left" w:leader="none"/>
        </w:tabs>
        <w:spacing w:line="429" w:lineRule="auto" w:before="0"/>
        <w:ind w:left="870" w:right="2785" w:hanging="720"/>
        <w:jc w:val="left"/>
        <w:rPr>
          <w:rFonts w:ascii="Wingdings" w:hAnsi="Wingdings"/>
          <w:sz w:val="22"/>
        </w:rPr>
      </w:pPr>
      <w:r>
        <w:rPr>
          <w:b/>
          <w:sz w:val="22"/>
        </w:rPr>
        <w:t>3.1</w:t>
        <w:tab/>
      </w:r>
      <w:r>
        <w:rPr>
          <w:sz w:val="22"/>
        </w:rPr>
        <w:t>What type of management structure runs</w:t>
      </w:r>
      <w:r>
        <w:rPr>
          <w:spacing w:val="-16"/>
          <w:sz w:val="22"/>
        </w:rPr>
        <w:t> </w:t>
      </w:r>
      <w:r>
        <w:rPr>
          <w:sz w:val="22"/>
        </w:rPr>
        <w:t>the</w:t>
      </w:r>
      <w:r>
        <w:rPr>
          <w:spacing w:val="-4"/>
          <w:sz w:val="22"/>
        </w:rPr>
        <w:t> </w:t>
      </w:r>
      <w:r>
        <w:rPr>
          <w:sz w:val="22"/>
        </w:rPr>
        <w:t>facility?</w:t>
      </w:r>
      <w:r>
        <w:rPr>
          <w:w w:val="100"/>
          <w:sz w:val="22"/>
        </w:rPr>
        <w:t> </w:t>
      </w:r>
      <w:r>
        <w:rPr>
          <w:sz w:val="22"/>
        </w:rPr>
        <w:t>Company Ltd.</w:t>
      </w:r>
      <w:r>
        <w:rPr>
          <w:spacing w:val="-2"/>
          <w:sz w:val="22"/>
        </w:rPr>
        <w:t> </w:t>
      </w:r>
      <w:r>
        <w:rPr>
          <w:sz w:val="22"/>
        </w:rPr>
        <w:t>by</w:t>
      </w:r>
      <w:r>
        <w:rPr>
          <w:spacing w:val="-2"/>
          <w:sz w:val="22"/>
        </w:rPr>
        <w:t> </w:t>
      </w:r>
      <w:r>
        <w:rPr>
          <w:sz w:val="22"/>
        </w:rPr>
        <w:t>Guarantee</w:t>
        <w:tab/>
      </w:r>
      <w:r>
        <w:rPr>
          <w:rFonts w:ascii="Wingdings" w:hAnsi="Wingdings"/>
          <w:sz w:val="22"/>
        </w:rPr>
        <w:t></w:t>
      </w:r>
    </w:p>
    <w:p>
      <w:pPr>
        <w:tabs>
          <w:tab w:pos="4470" w:val="left" w:leader="none"/>
        </w:tabs>
        <w:spacing w:before="44"/>
        <w:ind w:left="870" w:right="0" w:firstLine="0"/>
        <w:jc w:val="left"/>
        <w:rPr>
          <w:rFonts w:ascii="Wingdings" w:hAnsi="Wingdings"/>
          <w:sz w:val="22"/>
        </w:rPr>
      </w:pPr>
      <w:r>
        <w:rPr>
          <w:sz w:val="22"/>
        </w:rPr>
        <w:t>Club</w:t>
      </w:r>
      <w:r>
        <w:rPr>
          <w:spacing w:val="-2"/>
          <w:sz w:val="22"/>
        </w:rPr>
        <w:t> </w:t>
      </w:r>
      <w:r>
        <w:rPr>
          <w:sz w:val="22"/>
        </w:rPr>
        <w:t>or</w:t>
      </w:r>
      <w:r>
        <w:rPr>
          <w:spacing w:val="-1"/>
          <w:sz w:val="22"/>
        </w:rPr>
        <w:t> </w:t>
      </w:r>
      <w:r>
        <w:rPr>
          <w:sz w:val="22"/>
        </w:rPr>
        <w:t>Association</w:t>
        <w:tab/>
      </w:r>
      <w:r>
        <w:rPr>
          <w:rFonts w:ascii="Wingdings" w:hAnsi="Wingdings"/>
          <w:sz w:val="22"/>
        </w:rPr>
        <w:t></w:t>
      </w:r>
    </w:p>
    <w:p>
      <w:pPr>
        <w:pStyle w:val="BodyText"/>
        <w:spacing w:before="3"/>
        <w:rPr>
          <w:rFonts w:ascii="Wingdings"/>
          <w:sz w:val="21"/>
        </w:rPr>
      </w:pPr>
    </w:p>
    <w:p>
      <w:pPr>
        <w:tabs>
          <w:tab w:pos="4470" w:val="left" w:leader="none"/>
        </w:tabs>
        <w:spacing w:before="0"/>
        <w:ind w:left="870" w:right="0" w:firstLine="0"/>
        <w:jc w:val="left"/>
        <w:rPr>
          <w:rFonts w:ascii="Wingdings" w:hAnsi="Wingdings"/>
          <w:sz w:val="22"/>
        </w:rPr>
      </w:pPr>
      <w:r>
        <w:rPr>
          <w:sz w:val="22"/>
        </w:rPr>
        <w:t>Club Vested</w:t>
      </w:r>
      <w:r>
        <w:rPr>
          <w:spacing w:val="-4"/>
          <w:sz w:val="22"/>
        </w:rPr>
        <w:t> </w:t>
      </w:r>
      <w:r>
        <w:rPr>
          <w:sz w:val="22"/>
        </w:rPr>
        <w:t>In</w:t>
      </w:r>
      <w:r>
        <w:rPr>
          <w:spacing w:val="-1"/>
          <w:sz w:val="22"/>
        </w:rPr>
        <w:t> </w:t>
      </w:r>
      <w:r>
        <w:rPr>
          <w:sz w:val="22"/>
        </w:rPr>
        <w:t>Parish</w:t>
        <w:tab/>
      </w:r>
      <w:r>
        <w:rPr>
          <w:rFonts w:ascii="Wingdings" w:hAnsi="Wingdings"/>
          <w:sz w:val="22"/>
        </w:rPr>
        <w:t></w:t>
      </w:r>
    </w:p>
    <w:p>
      <w:pPr>
        <w:pStyle w:val="BodyText"/>
        <w:spacing w:before="5"/>
        <w:rPr>
          <w:rFonts w:ascii="Wingdings"/>
          <w:sz w:val="21"/>
        </w:rPr>
      </w:pPr>
    </w:p>
    <w:p>
      <w:pPr>
        <w:tabs>
          <w:tab w:pos="7828" w:val="left" w:leader="none"/>
        </w:tabs>
        <w:spacing w:before="1"/>
        <w:ind w:left="870" w:right="0" w:firstLine="0"/>
        <w:jc w:val="left"/>
        <w:rPr>
          <w:sz w:val="22"/>
        </w:rPr>
      </w:pPr>
      <w:r>
        <w:rPr>
          <w:sz w:val="22"/>
        </w:rPr>
        <w:t>Other, please</w:t>
      </w:r>
      <w:r>
        <w:rPr>
          <w:spacing w:val="-6"/>
          <w:sz w:val="22"/>
        </w:rPr>
        <w:t> </w:t>
      </w:r>
      <w:r>
        <w:rPr>
          <w:sz w:val="22"/>
        </w:rPr>
        <w:t>specify:</w:t>
      </w:r>
      <w:r>
        <w:rPr>
          <w:sz w:val="22"/>
          <w:u w:val="single"/>
        </w:rPr>
        <w:t> </w:t>
        <w:tab/>
      </w:r>
    </w:p>
    <w:p>
      <w:pPr>
        <w:pStyle w:val="BodyText"/>
        <w:rPr>
          <w:sz w:val="20"/>
        </w:rPr>
      </w:pPr>
    </w:p>
    <w:p>
      <w:pPr>
        <w:pStyle w:val="BodyText"/>
        <w:rPr>
          <w:sz w:val="20"/>
        </w:rPr>
      </w:pPr>
    </w:p>
    <w:p>
      <w:pPr>
        <w:pStyle w:val="BodyText"/>
        <w:spacing w:before="8" w:after="1"/>
        <w:rPr>
          <w:sz w:val="23"/>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5"/>
        <w:gridCol w:w="2857"/>
        <w:gridCol w:w="3489"/>
        <w:gridCol w:w="598"/>
      </w:tblGrid>
      <w:tr>
        <w:trPr>
          <w:trHeight w:val="360" w:hRule="atLeast"/>
        </w:trPr>
        <w:tc>
          <w:tcPr>
            <w:tcW w:w="555" w:type="dxa"/>
          </w:tcPr>
          <w:p>
            <w:pPr>
              <w:pStyle w:val="TableParagraph"/>
              <w:spacing w:line="247" w:lineRule="exact"/>
              <w:ind w:left="50"/>
              <w:rPr>
                <w:b/>
                <w:sz w:val="22"/>
              </w:rPr>
            </w:pPr>
            <w:r>
              <w:rPr>
                <w:b/>
                <w:sz w:val="22"/>
              </w:rPr>
              <w:t>3.2</w:t>
            </w:r>
          </w:p>
        </w:tc>
        <w:tc>
          <w:tcPr>
            <w:tcW w:w="2857" w:type="dxa"/>
          </w:tcPr>
          <w:p>
            <w:pPr>
              <w:pStyle w:val="TableParagraph"/>
              <w:spacing w:line="247" w:lineRule="exact"/>
              <w:ind w:left="215"/>
              <w:rPr>
                <w:sz w:val="22"/>
              </w:rPr>
            </w:pPr>
            <w:r>
              <w:rPr>
                <w:sz w:val="22"/>
              </w:rPr>
              <w:t>Who owns the facility?</w:t>
            </w:r>
          </w:p>
        </w:tc>
        <w:tc>
          <w:tcPr>
            <w:tcW w:w="4087" w:type="dxa"/>
            <w:gridSpan w:val="2"/>
          </w:tcPr>
          <w:p>
            <w:pPr>
              <w:pStyle w:val="TableParagraph"/>
              <w:spacing w:line="240" w:lineRule="auto"/>
              <w:rPr>
                <w:rFonts w:ascii="Times New Roman"/>
                <w:sz w:val="22"/>
              </w:rPr>
            </w:pPr>
          </w:p>
        </w:tc>
      </w:tr>
      <w:tr>
        <w:trPr>
          <w:trHeight w:val="940" w:hRule="atLeast"/>
        </w:trPr>
        <w:tc>
          <w:tcPr>
            <w:tcW w:w="555" w:type="dxa"/>
          </w:tcPr>
          <w:p>
            <w:pPr>
              <w:pStyle w:val="TableParagraph"/>
              <w:spacing w:line="240" w:lineRule="auto"/>
              <w:rPr>
                <w:rFonts w:ascii="Times New Roman"/>
                <w:sz w:val="22"/>
              </w:rPr>
            </w:pPr>
          </w:p>
        </w:tc>
        <w:tc>
          <w:tcPr>
            <w:tcW w:w="2857" w:type="dxa"/>
          </w:tcPr>
          <w:p>
            <w:pPr>
              <w:pStyle w:val="TableParagraph"/>
              <w:spacing w:line="240" w:lineRule="auto" w:before="117"/>
              <w:ind w:left="196"/>
              <w:rPr>
                <w:sz w:val="22"/>
              </w:rPr>
            </w:pPr>
            <w:r>
              <w:rPr>
                <w:sz w:val="22"/>
              </w:rPr>
              <w:t>Commercial</w:t>
            </w:r>
          </w:p>
          <w:p>
            <w:pPr>
              <w:pStyle w:val="TableParagraph"/>
              <w:spacing w:line="290" w:lineRule="atLeast"/>
              <w:ind w:left="196" w:right="219"/>
              <w:rPr>
                <w:sz w:val="22"/>
              </w:rPr>
            </w:pPr>
            <w:r>
              <w:rPr>
                <w:sz w:val="22"/>
              </w:rPr>
              <w:t>Community Organisation Parish/Church Owned</w:t>
            </w:r>
          </w:p>
        </w:tc>
        <w:tc>
          <w:tcPr>
            <w:tcW w:w="3489" w:type="dxa"/>
          </w:tcPr>
          <w:p>
            <w:pPr>
              <w:pStyle w:val="TableParagraph"/>
              <w:numPr>
                <w:ilvl w:val="0"/>
                <w:numId w:val="14"/>
              </w:numPr>
              <w:tabs>
                <w:tab w:pos="1679" w:val="left" w:leader="none"/>
                <w:tab w:pos="1680" w:val="left" w:leader="none"/>
              </w:tabs>
              <w:spacing w:line="240" w:lineRule="auto" w:before="117" w:after="0"/>
              <w:ind w:left="1679" w:right="0" w:hanging="1378"/>
              <w:jc w:val="left"/>
              <w:rPr>
                <w:sz w:val="22"/>
              </w:rPr>
            </w:pPr>
            <w:r>
              <w:rPr>
                <w:sz w:val="22"/>
              </w:rPr>
              <w:t>Local</w:t>
            </w:r>
            <w:r>
              <w:rPr>
                <w:spacing w:val="-1"/>
                <w:sz w:val="22"/>
              </w:rPr>
              <w:t> </w:t>
            </w:r>
            <w:r>
              <w:rPr>
                <w:sz w:val="22"/>
              </w:rPr>
              <w:t>Authority</w:t>
            </w:r>
          </w:p>
          <w:p>
            <w:pPr>
              <w:pStyle w:val="TableParagraph"/>
              <w:numPr>
                <w:ilvl w:val="0"/>
                <w:numId w:val="14"/>
              </w:numPr>
              <w:tabs>
                <w:tab w:pos="1679" w:val="left" w:leader="none"/>
                <w:tab w:pos="1680" w:val="left" w:leader="none"/>
              </w:tabs>
              <w:spacing w:line="240" w:lineRule="auto" w:before="37" w:after="0"/>
              <w:ind w:left="1679" w:right="0" w:hanging="1378"/>
              <w:jc w:val="left"/>
              <w:rPr>
                <w:sz w:val="22"/>
              </w:rPr>
            </w:pPr>
            <w:r>
              <w:rPr>
                <w:sz w:val="22"/>
              </w:rPr>
              <w:t>Sports</w:t>
            </w:r>
            <w:r>
              <w:rPr>
                <w:spacing w:val="-5"/>
                <w:sz w:val="22"/>
              </w:rPr>
              <w:t> </w:t>
            </w:r>
            <w:r>
              <w:rPr>
                <w:sz w:val="22"/>
              </w:rPr>
              <w:t>Club</w:t>
            </w:r>
          </w:p>
          <w:p>
            <w:pPr>
              <w:pStyle w:val="TableParagraph"/>
              <w:spacing w:line="225" w:lineRule="exact" w:before="46"/>
              <w:ind w:left="239"/>
              <w:rPr>
                <w:rFonts w:ascii="Wingdings" w:hAnsi="Wingdings"/>
                <w:sz w:val="22"/>
              </w:rPr>
            </w:pPr>
            <w:r>
              <w:rPr>
                <w:rFonts w:ascii="Wingdings" w:hAnsi="Wingdings"/>
                <w:w w:val="100"/>
                <w:sz w:val="22"/>
              </w:rPr>
              <w:t></w:t>
            </w:r>
          </w:p>
        </w:tc>
        <w:tc>
          <w:tcPr>
            <w:tcW w:w="598" w:type="dxa"/>
          </w:tcPr>
          <w:p>
            <w:pPr>
              <w:pStyle w:val="TableParagraph"/>
              <w:spacing w:line="240" w:lineRule="auto" w:before="126"/>
              <w:ind w:left="350"/>
              <w:rPr>
                <w:rFonts w:ascii="Wingdings" w:hAnsi="Wingdings"/>
                <w:sz w:val="22"/>
              </w:rPr>
            </w:pPr>
            <w:r>
              <w:rPr>
                <w:rFonts w:ascii="Wingdings" w:hAnsi="Wingdings"/>
                <w:w w:val="100"/>
                <w:sz w:val="22"/>
              </w:rPr>
              <w:t></w:t>
            </w:r>
          </w:p>
          <w:p>
            <w:pPr>
              <w:pStyle w:val="TableParagraph"/>
              <w:spacing w:line="240" w:lineRule="auto" w:before="46"/>
              <w:ind w:left="350"/>
              <w:rPr>
                <w:rFonts w:ascii="Wingdings" w:hAnsi="Wingdings"/>
                <w:sz w:val="22"/>
              </w:rPr>
            </w:pPr>
            <w:r>
              <w:rPr>
                <w:rFonts w:ascii="Wingdings" w:hAnsi="Wingdings"/>
                <w:w w:val="100"/>
                <w:sz w:val="22"/>
              </w:rPr>
              <w:t></w:t>
            </w:r>
          </w:p>
        </w:tc>
      </w:tr>
    </w:tbl>
    <w:p>
      <w:pPr>
        <w:pStyle w:val="BodyText"/>
        <w:spacing w:before="7"/>
        <w:rPr>
          <w:sz w:val="12"/>
        </w:rPr>
      </w:pPr>
    </w:p>
    <w:p>
      <w:pPr>
        <w:tabs>
          <w:tab w:pos="7809" w:val="left" w:leader="none"/>
        </w:tabs>
        <w:spacing w:before="94"/>
        <w:ind w:left="850" w:right="0" w:firstLine="0"/>
        <w:jc w:val="left"/>
        <w:rPr>
          <w:sz w:val="22"/>
        </w:rPr>
      </w:pPr>
      <w:r>
        <w:rPr>
          <w:sz w:val="22"/>
        </w:rPr>
        <w:t>Other, please</w:t>
      </w:r>
      <w:r>
        <w:rPr>
          <w:spacing w:val="-8"/>
          <w:sz w:val="22"/>
        </w:rPr>
        <w:t> </w:t>
      </w:r>
      <w:r>
        <w:rPr>
          <w:sz w:val="22"/>
        </w:rPr>
        <w:t>specify:</w:t>
      </w:r>
      <w:r>
        <w:rPr>
          <w:sz w:val="22"/>
          <w:u w:val="single"/>
        </w:rPr>
        <w:t> </w:t>
        <w:tab/>
      </w:r>
    </w:p>
    <w:p>
      <w:pPr>
        <w:pStyle w:val="BodyText"/>
        <w:rPr>
          <w:sz w:val="20"/>
        </w:rPr>
      </w:pPr>
    </w:p>
    <w:p>
      <w:pPr>
        <w:pStyle w:val="BodyText"/>
        <w:rPr>
          <w:sz w:val="20"/>
        </w:rPr>
      </w:pPr>
    </w:p>
    <w:p>
      <w:pPr>
        <w:pStyle w:val="BodyText"/>
        <w:spacing w:before="2"/>
        <w:rPr>
          <w:sz w:val="23"/>
        </w:rPr>
      </w:pPr>
    </w:p>
    <w:p>
      <w:pPr>
        <w:pStyle w:val="ListParagraph"/>
        <w:numPr>
          <w:ilvl w:val="1"/>
          <w:numId w:val="15"/>
        </w:numPr>
        <w:tabs>
          <w:tab w:pos="869" w:val="left" w:leader="none"/>
          <w:tab w:pos="870" w:val="left" w:leader="none"/>
        </w:tabs>
        <w:spacing w:line="240" w:lineRule="auto" w:before="0" w:after="0"/>
        <w:ind w:left="818" w:right="0" w:hanging="668"/>
        <w:jc w:val="left"/>
        <w:rPr>
          <w:b/>
          <w:sz w:val="22"/>
        </w:rPr>
      </w:pPr>
      <w:r>
        <w:rPr>
          <w:b/>
          <w:sz w:val="22"/>
        </w:rPr>
        <w:t>Operations</w:t>
      </w:r>
    </w:p>
    <w:p>
      <w:pPr>
        <w:pStyle w:val="BodyText"/>
        <w:spacing w:before="6"/>
        <w:rPr>
          <w:b/>
          <w:sz w:val="20"/>
        </w:rPr>
      </w:pPr>
    </w:p>
    <w:p>
      <w:pPr>
        <w:pStyle w:val="ListParagraph"/>
        <w:numPr>
          <w:ilvl w:val="2"/>
          <w:numId w:val="15"/>
        </w:numPr>
        <w:tabs>
          <w:tab w:pos="964" w:val="left" w:leader="none"/>
        </w:tabs>
        <w:spacing w:line="240" w:lineRule="auto" w:before="0" w:after="0"/>
        <w:ind w:left="963" w:right="0" w:hanging="333"/>
        <w:jc w:val="left"/>
        <w:rPr>
          <w:sz w:val="22"/>
        </w:rPr>
      </w:pPr>
      <w:r>
        <w:rPr>
          <w:sz w:val="22"/>
        </w:rPr>
        <w:t>Does the facility have any of the</w:t>
      </w:r>
      <w:r>
        <w:rPr>
          <w:spacing w:val="-20"/>
          <w:sz w:val="22"/>
        </w:rPr>
        <w:t> </w:t>
      </w:r>
      <w:r>
        <w:rPr>
          <w:sz w:val="22"/>
        </w:rPr>
        <w:t>following?</w:t>
      </w:r>
    </w:p>
    <w:p>
      <w:pPr>
        <w:pStyle w:val="BodyText"/>
        <w:spacing w:before="11"/>
        <w:rPr>
          <w:sz w:val="20"/>
        </w:rPr>
      </w:pPr>
    </w:p>
    <w:p>
      <w:pPr>
        <w:tabs>
          <w:tab w:pos="5910" w:val="left" w:leader="none"/>
        </w:tabs>
        <w:spacing w:before="0"/>
        <w:ind w:left="870" w:right="0" w:firstLine="0"/>
        <w:jc w:val="left"/>
        <w:rPr>
          <w:rFonts w:ascii="Wingdings" w:hAnsi="Wingdings"/>
          <w:sz w:val="22"/>
        </w:rPr>
      </w:pPr>
      <w:r>
        <w:rPr>
          <w:sz w:val="22"/>
        </w:rPr>
        <w:t>Full</w:t>
      </w:r>
      <w:r>
        <w:rPr>
          <w:spacing w:val="-2"/>
          <w:sz w:val="22"/>
        </w:rPr>
        <w:t> </w:t>
      </w:r>
      <w:r>
        <w:rPr>
          <w:sz w:val="22"/>
        </w:rPr>
        <w:t>-Time</w:t>
      </w:r>
      <w:r>
        <w:rPr>
          <w:spacing w:val="-1"/>
          <w:sz w:val="22"/>
        </w:rPr>
        <w:t> </w:t>
      </w:r>
      <w:r>
        <w:rPr>
          <w:sz w:val="22"/>
        </w:rPr>
        <w:t>Staff</w:t>
        <w:tab/>
      </w:r>
      <w:r>
        <w:rPr>
          <w:rFonts w:ascii="Wingdings" w:hAnsi="Wingdings"/>
          <w:sz w:val="22"/>
        </w:rPr>
        <w:t></w:t>
      </w:r>
    </w:p>
    <w:p>
      <w:pPr>
        <w:pStyle w:val="BodyText"/>
        <w:spacing w:before="3"/>
        <w:rPr>
          <w:rFonts w:ascii="Wingdings"/>
          <w:sz w:val="21"/>
        </w:rPr>
      </w:pPr>
    </w:p>
    <w:p>
      <w:pPr>
        <w:tabs>
          <w:tab w:pos="5910" w:val="left" w:leader="none"/>
        </w:tabs>
        <w:spacing w:before="0"/>
        <w:ind w:left="870" w:right="0" w:firstLine="0"/>
        <w:jc w:val="left"/>
        <w:rPr>
          <w:rFonts w:ascii="Wingdings" w:hAnsi="Wingdings"/>
          <w:sz w:val="22"/>
        </w:rPr>
      </w:pPr>
      <w:r>
        <w:rPr>
          <w:sz w:val="22"/>
        </w:rPr>
        <w:t>Part</w:t>
      </w:r>
      <w:r>
        <w:rPr>
          <w:spacing w:val="-1"/>
          <w:sz w:val="22"/>
        </w:rPr>
        <w:t> </w:t>
      </w:r>
      <w:r>
        <w:rPr>
          <w:sz w:val="22"/>
        </w:rPr>
        <w:t>-Time</w:t>
      </w:r>
      <w:r>
        <w:rPr>
          <w:spacing w:val="-3"/>
          <w:sz w:val="22"/>
        </w:rPr>
        <w:t> </w:t>
      </w:r>
      <w:r>
        <w:rPr>
          <w:sz w:val="22"/>
        </w:rPr>
        <w:t>Staff</w:t>
        <w:tab/>
      </w:r>
      <w:r>
        <w:rPr>
          <w:rFonts w:ascii="Wingdings" w:hAnsi="Wingdings"/>
          <w:sz w:val="22"/>
        </w:rPr>
        <w:t></w:t>
      </w:r>
    </w:p>
    <w:p>
      <w:pPr>
        <w:spacing w:after="0"/>
        <w:jc w:val="left"/>
        <w:rPr>
          <w:rFonts w:ascii="Wingdings" w:hAnsi="Wingdings"/>
          <w:sz w:val="22"/>
        </w:rPr>
        <w:sectPr>
          <w:headerReference w:type="default" r:id="rId52"/>
          <w:footerReference w:type="default" r:id="rId53"/>
          <w:pgSz w:w="11910" w:h="17340"/>
          <w:pgMar w:header="759" w:footer="0" w:top="940" w:bottom="280" w:left="1420" w:right="1680"/>
        </w:sectPr>
      </w:pPr>
    </w:p>
    <w:p>
      <w:pPr>
        <w:pStyle w:val="BodyText"/>
        <w:rPr>
          <w:rFonts w:ascii="Wingdings"/>
          <w:sz w:val="16"/>
        </w:rPr>
      </w:pPr>
    </w:p>
    <w:p>
      <w:pPr>
        <w:tabs>
          <w:tab w:pos="5870" w:val="left" w:leader="none"/>
        </w:tabs>
        <w:spacing w:before="94"/>
        <w:ind w:left="830" w:right="0" w:firstLine="0"/>
        <w:jc w:val="both"/>
        <w:rPr>
          <w:rFonts w:ascii="Wingdings" w:hAnsi="Wingdings"/>
          <w:sz w:val="22"/>
        </w:rPr>
      </w:pPr>
      <w:r>
        <w:rPr>
          <w:sz w:val="22"/>
        </w:rPr>
        <w:t>Voluntary</w:t>
      </w:r>
      <w:r>
        <w:rPr>
          <w:spacing w:val="-2"/>
          <w:sz w:val="22"/>
        </w:rPr>
        <w:t> </w:t>
      </w:r>
      <w:r>
        <w:rPr>
          <w:sz w:val="22"/>
        </w:rPr>
        <w:t>Staff</w:t>
        <w:tab/>
      </w:r>
      <w:r>
        <w:rPr>
          <w:rFonts w:ascii="Wingdings" w:hAnsi="Wingdings"/>
          <w:sz w:val="22"/>
        </w:rPr>
        <w:t></w:t>
      </w:r>
    </w:p>
    <w:p>
      <w:pPr>
        <w:pStyle w:val="BodyText"/>
        <w:spacing w:before="3"/>
        <w:rPr>
          <w:rFonts w:ascii="Wingdings"/>
          <w:sz w:val="21"/>
        </w:rPr>
      </w:pPr>
    </w:p>
    <w:p>
      <w:pPr>
        <w:spacing w:before="0"/>
        <w:ind w:left="830" w:right="0" w:firstLine="0"/>
        <w:jc w:val="both"/>
        <w:rPr>
          <w:rFonts w:ascii="Wingdings" w:hAnsi="Wingdings"/>
          <w:sz w:val="22"/>
        </w:rPr>
      </w:pPr>
      <w:r>
        <w:rPr>
          <w:sz w:val="22"/>
        </w:rPr>
        <w:t>Work experience Scheme Staff (e.g, Tus, CE)         </w:t>
      </w:r>
      <w:r>
        <w:rPr>
          <w:rFonts w:ascii="Wingdings" w:hAnsi="Wingdings"/>
          <w:sz w:val="22"/>
        </w:rPr>
        <w:t></w:t>
      </w:r>
    </w:p>
    <w:p>
      <w:pPr>
        <w:pStyle w:val="BodyText"/>
        <w:rPr>
          <w:rFonts w:ascii="Wingdings"/>
        </w:rPr>
      </w:pPr>
    </w:p>
    <w:p>
      <w:pPr>
        <w:pStyle w:val="BodyText"/>
        <w:rPr>
          <w:rFonts w:ascii="Wingdings"/>
        </w:rPr>
      </w:pPr>
    </w:p>
    <w:p>
      <w:pPr>
        <w:pStyle w:val="ListParagraph"/>
        <w:numPr>
          <w:ilvl w:val="2"/>
          <w:numId w:val="15"/>
        </w:numPr>
        <w:tabs>
          <w:tab w:pos="829" w:val="left" w:leader="none"/>
          <w:tab w:pos="830" w:val="left" w:leader="none"/>
        </w:tabs>
        <w:spacing w:line="240" w:lineRule="auto" w:before="193" w:after="0"/>
        <w:ind w:left="830" w:right="0" w:hanging="720"/>
        <w:jc w:val="left"/>
        <w:rPr>
          <w:sz w:val="22"/>
        </w:rPr>
      </w:pPr>
      <w:r>
        <w:rPr>
          <w:sz w:val="22"/>
        </w:rPr>
        <w:t>How many hours per week is the facility opened to the</w:t>
      </w:r>
      <w:r>
        <w:rPr>
          <w:spacing w:val="-18"/>
          <w:sz w:val="22"/>
        </w:rPr>
        <w:t> </w:t>
      </w:r>
      <w:r>
        <w:rPr>
          <w:sz w:val="22"/>
        </w:rPr>
        <w:t>public?</w:t>
      </w:r>
    </w:p>
    <w:p>
      <w:pPr>
        <w:pStyle w:val="BodyText"/>
        <w:rPr>
          <w:sz w:val="21"/>
        </w:rPr>
      </w:pPr>
    </w:p>
    <w:p>
      <w:pPr>
        <w:tabs>
          <w:tab w:pos="2270" w:val="left" w:leader="none"/>
          <w:tab w:pos="6591" w:val="left" w:leader="none"/>
          <w:tab w:pos="8031" w:val="left" w:leader="none"/>
        </w:tabs>
        <w:spacing w:before="0"/>
        <w:ind w:left="830" w:right="0" w:firstLine="0"/>
        <w:jc w:val="both"/>
        <w:rPr>
          <w:rFonts w:ascii="Wingdings" w:hAnsi="Wingdings"/>
          <w:sz w:val="22"/>
        </w:rPr>
      </w:pPr>
      <w:r>
        <w:rPr>
          <w:sz w:val="22"/>
        </w:rPr>
        <w:t>0 -</w:t>
      </w:r>
      <w:r>
        <w:rPr>
          <w:spacing w:val="-1"/>
          <w:sz w:val="22"/>
        </w:rPr>
        <w:t> </w:t>
      </w:r>
      <w:r>
        <w:rPr>
          <w:sz w:val="22"/>
        </w:rPr>
        <w:t>10</w:t>
        <w:tab/>
      </w:r>
      <w:r>
        <w:rPr>
          <w:rFonts w:ascii="Wingdings" w:hAnsi="Wingdings"/>
          <w:sz w:val="22"/>
        </w:rPr>
        <w:t></w:t>
        <w:tab/>
      </w:r>
      <w:r>
        <w:rPr>
          <w:sz w:val="22"/>
        </w:rPr>
        <w:t>20</w:t>
      </w:r>
      <w:r>
        <w:rPr>
          <w:spacing w:val="-1"/>
          <w:sz w:val="22"/>
        </w:rPr>
        <w:t> </w:t>
      </w:r>
      <w:r>
        <w:rPr>
          <w:sz w:val="22"/>
        </w:rPr>
        <w:t>-</w:t>
      </w:r>
      <w:r>
        <w:rPr>
          <w:spacing w:val="-2"/>
          <w:sz w:val="22"/>
        </w:rPr>
        <w:t> </w:t>
      </w:r>
      <w:r>
        <w:rPr>
          <w:sz w:val="22"/>
        </w:rPr>
        <w:t>30</w:t>
        <w:tab/>
      </w:r>
      <w:r>
        <w:rPr>
          <w:rFonts w:ascii="Wingdings" w:hAnsi="Wingdings"/>
          <w:sz w:val="22"/>
        </w:rPr>
        <w:t></w:t>
      </w:r>
    </w:p>
    <w:p>
      <w:pPr>
        <w:pStyle w:val="BodyText"/>
        <w:spacing w:before="3"/>
        <w:rPr>
          <w:rFonts w:ascii="Wingdings"/>
          <w:sz w:val="21"/>
        </w:rPr>
      </w:pPr>
    </w:p>
    <w:p>
      <w:pPr>
        <w:tabs>
          <w:tab w:pos="2270" w:val="left" w:leader="none"/>
          <w:tab w:pos="6591" w:val="left" w:leader="none"/>
          <w:tab w:pos="8031" w:val="left" w:leader="none"/>
        </w:tabs>
        <w:spacing w:before="0"/>
        <w:ind w:left="830" w:right="0" w:firstLine="0"/>
        <w:jc w:val="both"/>
        <w:rPr>
          <w:rFonts w:ascii="Wingdings" w:hAnsi="Wingdings"/>
          <w:sz w:val="22"/>
        </w:rPr>
      </w:pPr>
      <w:r>
        <w:rPr>
          <w:sz w:val="22"/>
        </w:rPr>
        <w:t>10</w:t>
      </w:r>
      <w:r>
        <w:rPr>
          <w:spacing w:val="-1"/>
          <w:sz w:val="22"/>
        </w:rPr>
        <w:t> </w:t>
      </w:r>
      <w:r>
        <w:rPr>
          <w:sz w:val="22"/>
        </w:rPr>
        <w:t>-</w:t>
      </w:r>
      <w:r>
        <w:rPr>
          <w:spacing w:val="-2"/>
          <w:sz w:val="22"/>
        </w:rPr>
        <w:t> </w:t>
      </w:r>
      <w:r>
        <w:rPr>
          <w:sz w:val="22"/>
        </w:rPr>
        <w:t>20</w:t>
        <w:tab/>
      </w:r>
      <w:r>
        <w:rPr>
          <w:rFonts w:ascii="Wingdings" w:hAnsi="Wingdings"/>
          <w:sz w:val="22"/>
        </w:rPr>
        <w:t></w:t>
        <w:tab/>
      </w:r>
      <w:r>
        <w:rPr>
          <w:sz w:val="22"/>
        </w:rPr>
        <w:t>30 +</w:t>
        <w:tab/>
      </w:r>
      <w:r>
        <w:rPr>
          <w:rFonts w:ascii="Wingdings" w:hAnsi="Wingdings"/>
          <w:sz w:val="22"/>
        </w:rPr>
        <w:t></w:t>
      </w:r>
    </w:p>
    <w:p>
      <w:pPr>
        <w:pStyle w:val="BodyText"/>
        <w:rPr>
          <w:rFonts w:ascii="Wingdings"/>
        </w:rPr>
      </w:pPr>
    </w:p>
    <w:p>
      <w:pPr>
        <w:pStyle w:val="BodyText"/>
        <w:rPr>
          <w:rFonts w:ascii="Wingdings"/>
        </w:rPr>
      </w:pPr>
    </w:p>
    <w:p>
      <w:pPr>
        <w:pStyle w:val="ListParagraph"/>
        <w:numPr>
          <w:ilvl w:val="2"/>
          <w:numId w:val="15"/>
        </w:numPr>
        <w:tabs>
          <w:tab w:pos="829" w:val="left" w:leader="none"/>
          <w:tab w:pos="830" w:val="left" w:leader="none"/>
        </w:tabs>
        <w:spacing w:line="240" w:lineRule="auto" w:before="193" w:after="0"/>
        <w:ind w:left="830" w:right="0" w:hanging="720"/>
        <w:jc w:val="left"/>
        <w:rPr>
          <w:sz w:val="22"/>
        </w:rPr>
      </w:pPr>
      <w:r>
        <w:rPr>
          <w:sz w:val="22"/>
        </w:rPr>
        <w:t>Is the facility open during the following</w:t>
      </w:r>
      <w:r>
        <w:rPr>
          <w:spacing w:val="-14"/>
          <w:sz w:val="22"/>
        </w:rPr>
        <w:t> </w:t>
      </w:r>
      <w:r>
        <w:rPr>
          <w:sz w:val="22"/>
        </w:rPr>
        <w:t>times?</w:t>
      </w:r>
    </w:p>
    <w:p>
      <w:pPr>
        <w:pStyle w:val="BodyText"/>
        <w:spacing w:before="10"/>
        <w:rPr>
          <w:sz w:val="20"/>
        </w:rPr>
      </w:pPr>
    </w:p>
    <w:p>
      <w:pPr>
        <w:tabs>
          <w:tab w:pos="2990" w:val="left" w:leader="none"/>
          <w:tab w:pos="5870" w:val="left" w:leader="none"/>
        </w:tabs>
        <w:spacing w:before="0"/>
        <w:ind w:left="830" w:right="0" w:firstLine="0"/>
        <w:jc w:val="both"/>
        <w:rPr>
          <w:rFonts w:ascii="Wingdings" w:hAnsi="Wingdings"/>
          <w:sz w:val="22"/>
        </w:rPr>
      </w:pPr>
      <w:r>
        <w:rPr>
          <w:sz w:val="22"/>
        </w:rPr>
        <w:t>Mornings</w:t>
        <w:tab/>
      </w:r>
      <w:r>
        <w:rPr>
          <w:rFonts w:ascii="Wingdings" w:hAnsi="Wingdings"/>
          <w:sz w:val="22"/>
        </w:rPr>
        <w:t></w:t>
        <w:tab/>
      </w:r>
      <w:r>
        <w:rPr>
          <w:sz w:val="22"/>
        </w:rPr>
        <w:t>Evenings/Nights        </w:t>
      </w:r>
      <w:r>
        <w:rPr>
          <w:spacing w:val="15"/>
          <w:sz w:val="22"/>
        </w:rPr>
        <w:t> </w:t>
      </w:r>
      <w:r>
        <w:rPr>
          <w:rFonts w:ascii="Wingdings" w:hAnsi="Wingdings"/>
          <w:sz w:val="22"/>
        </w:rPr>
        <w:t></w:t>
      </w:r>
    </w:p>
    <w:p>
      <w:pPr>
        <w:pStyle w:val="BodyText"/>
        <w:spacing w:before="5"/>
        <w:rPr>
          <w:rFonts w:ascii="Wingdings"/>
          <w:sz w:val="21"/>
        </w:rPr>
      </w:pPr>
    </w:p>
    <w:p>
      <w:pPr>
        <w:tabs>
          <w:tab w:pos="2990" w:val="left" w:leader="none"/>
          <w:tab w:pos="5870" w:val="left" w:leader="none"/>
          <w:tab w:pos="8031" w:val="left" w:leader="none"/>
        </w:tabs>
        <w:spacing w:before="0"/>
        <w:ind w:left="830" w:right="0" w:firstLine="0"/>
        <w:jc w:val="both"/>
        <w:rPr>
          <w:rFonts w:ascii="Wingdings" w:hAnsi="Wingdings"/>
          <w:sz w:val="22"/>
        </w:rPr>
      </w:pPr>
      <w:r>
        <w:rPr>
          <w:sz w:val="22"/>
        </w:rPr>
        <w:t>Afternoons</w:t>
        <w:tab/>
      </w:r>
      <w:r>
        <w:rPr>
          <w:rFonts w:ascii="Wingdings" w:hAnsi="Wingdings"/>
          <w:sz w:val="22"/>
        </w:rPr>
        <w:t></w:t>
        <w:tab/>
      </w:r>
      <w:r>
        <w:rPr>
          <w:sz w:val="22"/>
        </w:rPr>
        <w:t>Weekends</w:t>
        <w:tab/>
      </w:r>
      <w:r>
        <w:rPr>
          <w:rFonts w:ascii="Wingdings" w:hAnsi="Wingdings"/>
          <w:sz w:val="22"/>
        </w:rPr>
        <w:t></w:t>
      </w:r>
    </w:p>
    <w:p>
      <w:pPr>
        <w:pStyle w:val="BodyText"/>
        <w:rPr>
          <w:rFonts w:ascii="Wingdings"/>
        </w:rPr>
      </w:pPr>
    </w:p>
    <w:p>
      <w:pPr>
        <w:pStyle w:val="BodyText"/>
        <w:rPr>
          <w:rFonts w:ascii="Wingdings"/>
        </w:rPr>
      </w:pPr>
    </w:p>
    <w:p>
      <w:pPr>
        <w:pStyle w:val="ListParagraph"/>
        <w:numPr>
          <w:ilvl w:val="1"/>
          <w:numId w:val="15"/>
        </w:numPr>
        <w:tabs>
          <w:tab w:pos="829" w:val="left" w:leader="none"/>
          <w:tab w:pos="830" w:val="left" w:leader="none"/>
        </w:tabs>
        <w:spacing w:line="240" w:lineRule="auto" w:before="193" w:after="0"/>
        <w:ind w:left="830" w:right="0" w:hanging="720"/>
        <w:jc w:val="left"/>
        <w:rPr>
          <w:sz w:val="22"/>
        </w:rPr>
      </w:pPr>
      <w:r>
        <w:rPr>
          <w:sz w:val="22"/>
        </w:rPr>
        <w:t>Which of the following types of insurance do you</w:t>
      </w:r>
      <w:r>
        <w:rPr>
          <w:spacing w:val="-18"/>
          <w:sz w:val="22"/>
        </w:rPr>
        <w:t> </w:t>
      </w:r>
      <w:r>
        <w:rPr>
          <w:sz w:val="22"/>
        </w:rPr>
        <w:t>have?</w:t>
      </w:r>
    </w:p>
    <w:p>
      <w:pPr>
        <w:pStyle w:val="BodyText"/>
        <w:spacing w:before="8"/>
        <w:rPr>
          <w:sz w:val="20"/>
        </w:rPr>
      </w:pPr>
    </w:p>
    <w:p>
      <w:pPr>
        <w:tabs>
          <w:tab w:pos="4430" w:val="left" w:leader="none"/>
          <w:tab w:pos="8031" w:val="left" w:leader="none"/>
        </w:tabs>
        <w:spacing w:before="0"/>
        <w:ind w:left="830" w:right="0" w:firstLine="0"/>
        <w:jc w:val="both"/>
        <w:rPr>
          <w:rFonts w:ascii="Wingdings" w:hAnsi="Wingdings"/>
          <w:sz w:val="22"/>
        </w:rPr>
      </w:pPr>
      <w:r>
        <w:rPr>
          <w:sz w:val="22"/>
        </w:rPr>
        <w:t>Public</w:t>
      </w:r>
      <w:r>
        <w:rPr>
          <w:spacing w:val="-2"/>
          <w:sz w:val="22"/>
        </w:rPr>
        <w:t> </w:t>
      </w:r>
      <w:r>
        <w:rPr>
          <w:sz w:val="22"/>
        </w:rPr>
        <w:t>Liability</w:t>
        <w:tab/>
      </w:r>
      <w:r>
        <w:rPr>
          <w:rFonts w:ascii="Wingdings" w:hAnsi="Wingdings"/>
          <w:sz w:val="22"/>
        </w:rPr>
        <w:t></w:t>
      </w:r>
      <w:r>
        <w:rPr>
          <w:rFonts w:ascii="Times New Roman" w:hAnsi="Times New Roman"/>
          <w:sz w:val="22"/>
        </w:rPr>
        <w:t>                  </w:t>
      </w:r>
      <w:r>
        <w:rPr>
          <w:rFonts w:ascii="Times New Roman" w:hAnsi="Times New Roman"/>
          <w:spacing w:val="20"/>
          <w:sz w:val="22"/>
        </w:rPr>
        <w:t> </w:t>
      </w:r>
      <w:r>
        <w:rPr>
          <w:sz w:val="22"/>
        </w:rPr>
        <w:t>Employer Liability</w:t>
        <w:tab/>
      </w:r>
      <w:r>
        <w:rPr>
          <w:rFonts w:ascii="Wingdings" w:hAnsi="Wingdings"/>
          <w:sz w:val="22"/>
        </w:rPr>
        <w:t></w:t>
      </w:r>
    </w:p>
    <w:p>
      <w:pPr>
        <w:pStyle w:val="BodyText"/>
        <w:spacing w:before="5"/>
        <w:rPr>
          <w:rFonts w:ascii="Wingdings"/>
          <w:sz w:val="21"/>
        </w:rPr>
      </w:pPr>
    </w:p>
    <w:p>
      <w:pPr>
        <w:tabs>
          <w:tab w:pos="4430" w:val="left" w:leader="none"/>
          <w:tab w:pos="8031" w:val="left" w:leader="none"/>
        </w:tabs>
        <w:spacing w:line="465" w:lineRule="auto" w:before="0"/>
        <w:ind w:left="830" w:right="536" w:firstLine="0"/>
        <w:jc w:val="both"/>
        <w:rPr>
          <w:rFonts w:ascii="Wingdings" w:hAnsi="Wingdings"/>
          <w:sz w:val="22"/>
        </w:rPr>
      </w:pPr>
      <w:r>
        <w:rPr>
          <w:sz w:val="22"/>
        </w:rPr>
        <w:t>Burglary</w:t>
      </w:r>
      <w:r>
        <w:rPr>
          <w:spacing w:val="-2"/>
          <w:sz w:val="22"/>
        </w:rPr>
        <w:t> </w:t>
      </w:r>
      <w:r>
        <w:rPr>
          <w:sz w:val="22"/>
        </w:rPr>
        <w:t>Cover</w:t>
        <w:tab/>
      </w:r>
      <w:r>
        <w:rPr>
          <w:rFonts w:ascii="Wingdings" w:hAnsi="Wingdings"/>
          <w:sz w:val="22"/>
        </w:rPr>
        <w:t></w:t>
      </w:r>
      <w:r>
        <w:rPr>
          <w:rFonts w:ascii="Times New Roman" w:hAnsi="Times New Roman"/>
          <w:sz w:val="22"/>
        </w:rPr>
        <w:t>                  </w:t>
      </w:r>
      <w:r>
        <w:rPr>
          <w:rFonts w:ascii="Times New Roman" w:hAnsi="Times New Roman"/>
          <w:spacing w:val="25"/>
          <w:sz w:val="22"/>
        </w:rPr>
        <w:t> </w:t>
      </w:r>
      <w:r>
        <w:rPr>
          <w:sz w:val="22"/>
        </w:rPr>
        <w:t>Money</w:t>
      </w:r>
      <w:r>
        <w:rPr>
          <w:spacing w:val="-3"/>
          <w:sz w:val="22"/>
        </w:rPr>
        <w:t> </w:t>
      </w:r>
      <w:r>
        <w:rPr>
          <w:sz w:val="22"/>
        </w:rPr>
        <w:t>Cover</w:t>
        <w:tab/>
      </w:r>
      <w:r>
        <w:rPr>
          <w:rFonts w:ascii="Wingdings" w:hAnsi="Wingdings"/>
          <w:sz w:val="22"/>
        </w:rPr>
        <w:t></w:t>
      </w:r>
      <w:r>
        <w:rPr>
          <w:rFonts w:ascii="Times New Roman" w:hAnsi="Times New Roman"/>
          <w:sz w:val="22"/>
        </w:rPr>
        <w:t> </w:t>
      </w:r>
      <w:r>
        <w:rPr>
          <w:sz w:val="22"/>
        </w:rPr>
        <w:t>Property</w:t>
      </w:r>
      <w:r>
        <w:rPr>
          <w:spacing w:val="-3"/>
          <w:sz w:val="22"/>
        </w:rPr>
        <w:t> </w:t>
      </w:r>
      <w:r>
        <w:rPr>
          <w:sz w:val="22"/>
        </w:rPr>
        <w:t>Damage</w:t>
      </w:r>
      <w:r>
        <w:rPr>
          <w:spacing w:val="-2"/>
          <w:sz w:val="22"/>
        </w:rPr>
        <w:t> </w:t>
      </w:r>
      <w:r>
        <w:rPr>
          <w:sz w:val="22"/>
        </w:rPr>
        <w:t>Cover</w:t>
        <w:tab/>
      </w:r>
      <w:r>
        <w:rPr>
          <w:rFonts w:ascii="Wingdings" w:hAnsi="Wingdings"/>
          <w:sz w:val="22"/>
        </w:rPr>
        <w:t></w:t>
      </w:r>
      <w:r>
        <w:rPr>
          <w:rFonts w:ascii="Times New Roman" w:hAnsi="Times New Roman"/>
          <w:sz w:val="22"/>
        </w:rPr>
        <w:t>                  </w:t>
      </w:r>
      <w:r>
        <w:rPr>
          <w:rFonts w:ascii="Times New Roman" w:hAnsi="Times New Roman"/>
          <w:spacing w:val="22"/>
          <w:sz w:val="22"/>
        </w:rPr>
        <w:t> </w:t>
      </w:r>
      <w:r>
        <w:rPr>
          <w:sz w:val="22"/>
        </w:rPr>
        <w:t>Product</w:t>
      </w:r>
      <w:r>
        <w:rPr>
          <w:spacing w:val="-2"/>
          <w:sz w:val="22"/>
        </w:rPr>
        <w:t> </w:t>
      </w:r>
      <w:r>
        <w:rPr>
          <w:sz w:val="22"/>
        </w:rPr>
        <w:t>Liability</w:t>
        <w:tab/>
      </w:r>
      <w:r>
        <w:rPr>
          <w:rFonts w:ascii="Wingdings" w:hAnsi="Wingdings"/>
          <w:sz w:val="22"/>
        </w:rPr>
        <w:t></w:t>
      </w:r>
      <w:r>
        <w:rPr>
          <w:rFonts w:ascii="Times New Roman" w:hAnsi="Times New Roman"/>
          <w:sz w:val="22"/>
        </w:rPr>
        <w:t> </w:t>
      </w:r>
      <w:r>
        <w:rPr>
          <w:sz w:val="22"/>
        </w:rPr>
        <w:t>Member-To-Member</w:t>
      </w:r>
      <w:r>
        <w:rPr>
          <w:spacing w:val="-3"/>
          <w:sz w:val="22"/>
        </w:rPr>
        <w:t> </w:t>
      </w:r>
      <w:r>
        <w:rPr>
          <w:sz w:val="22"/>
        </w:rPr>
        <w:t>Liability</w:t>
        <w:tab/>
      </w:r>
      <w:r>
        <w:rPr>
          <w:rFonts w:ascii="Wingdings" w:hAnsi="Wingdings"/>
          <w:sz w:val="22"/>
        </w:rPr>
        <w:t></w:t>
      </w:r>
      <w:r>
        <w:rPr>
          <w:rFonts w:ascii="Times New Roman" w:hAnsi="Times New Roman"/>
          <w:sz w:val="22"/>
        </w:rPr>
        <w:t>                  </w:t>
      </w:r>
      <w:r>
        <w:rPr>
          <w:rFonts w:ascii="Times New Roman" w:hAnsi="Times New Roman"/>
          <w:spacing w:val="23"/>
          <w:sz w:val="22"/>
        </w:rPr>
        <w:t> </w:t>
      </w:r>
      <w:r>
        <w:rPr>
          <w:sz w:val="22"/>
        </w:rPr>
        <w:t>Business Interruption</w:t>
        <w:tab/>
      </w:r>
      <w:r>
        <w:rPr>
          <w:rFonts w:ascii="Wingdings" w:hAnsi="Wingdings"/>
          <w:sz w:val="22"/>
        </w:rPr>
        <w:t></w:t>
      </w:r>
    </w:p>
    <w:p>
      <w:pPr>
        <w:pStyle w:val="BodyText"/>
        <w:rPr>
          <w:rFonts w:ascii="Wingdings"/>
        </w:rPr>
      </w:pPr>
    </w:p>
    <w:p>
      <w:pPr>
        <w:pStyle w:val="BodyText"/>
        <w:spacing w:before="6"/>
        <w:rPr>
          <w:rFonts w:ascii="Wingdings"/>
          <w:sz w:val="20"/>
        </w:rPr>
      </w:pPr>
    </w:p>
    <w:p>
      <w:pPr>
        <w:pStyle w:val="ListParagraph"/>
        <w:numPr>
          <w:ilvl w:val="1"/>
          <w:numId w:val="15"/>
        </w:numPr>
        <w:tabs>
          <w:tab w:pos="724" w:val="left" w:leader="none"/>
          <w:tab w:pos="725" w:val="left" w:leader="none"/>
        </w:tabs>
        <w:spacing w:line="240" w:lineRule="auto" w:before="0" w:after="0"/>
        <w:ind w:left="724" w:right="0" w:hanging="614"/>
        <w:jc w:val="left"/>
        <w:rPr>
          <w:sz w:val="22"/>
        </w:rPr>
      </w:pPr>
      <w:r>
        <w:rPr>
          <w:sz w:val="22"/>
        </w:rPr>
        <w:t>How do you generate income for your</w:t>
      </w:r>
      <w:r>
        <w:rPr>
          <w:spacing w:val="-20"/>
          <w:sz w:val="22"/>
        </w:rPr>
        <w:t> </w:t>
      </w:r>
      <w:r>
        <w:rPr>
          <w:sz w:val="22"/>
        </w:rPr>
        <w:t>facility?</w:t>
      </w:r>
    </w:p>
    <w:p>
      <w:pPr>
        <w:pStyle w:val="BodyText"/>
        <w:spacing w:before="10"/>
        <w:rPr>
          <w:sz w:val="20"/>
        </w:rPr>
      </w:pPr>
    </w:p>
    <w:p>
      <w:pPr>
        <w:tabs>
          <w:tab w:pos="4505" w:val="left" w:leader="none"/>
          <w:tab w:pos="8031" w:val="left" w:leader="none"/>
        </w:tabs>
        <w:spacing w:before="1"/>
        <w:ind w:left="818" w:right="0" w:firstLine="0"/>
        <w:jc w:val="both"/>
        <w:rPr>
          <w:rFonts w:ascii="Wingdings" w:hAnsi="Wingdings"/>
          <w:sz w:val="22"/>
        </w:rPr>
      </w:pPr>
      <w:r>
        <w:rPr>
          <w:sz w:val="22"/>
        </w:rPr>
        <w:t>Room</w:t>
      </w:r>
      <w:r>
        <w:rPr>
          <w:spacing w:val="-1"/>
          <w:sz w:val="22"/>
        </w:rPr>
        <w:t> </w:t>
      </w:r>
      <w:r>
        <w:rPr>
          <w:sz w:val="22"/>
        </w:rPr>
        <w:t>rental</w:t>
      </w:r>
      <w:r>
        <w:rPr>
          <w:spacing w:val="-2"/>
          <w:sz w:val="22"/>
        </w:rPr>
        <w:t> </w:t>
      </w:r>
      <w:r>
        <w:rPr>
          <w:sz w:val="22"/>
        </w:rPr>
        <w:t>costs</w:t>
        <w:tab/>
      </w:r>
      <w:r>
        <w:rPr>
          <w:rFonts w:ascii="Wingdings" w:hAnsi="Wingdings"/>
          <w:sz w:val="22"/>
        </w:rPr>
        <w:t></w:t>
      </w:r>
      <w:r>
        <w:rPr>
          <w:rFonts w:ascii="Times New Roman" w:hAnsi="Times New Roman"/>
          <w:sz w:val="22"/>
        </w:rPr>
        <w:t>               </w:t>
      </w:r>
      <w:r>
        <w:rPr>
          <w:rFonts w:ascii="Times New Roman" w:hAnsi="Times New Roman"/>
          <w:spacing w:val="3"/>
          <w:sz w:val="22"/>
        </w:rPr>
        <w:t> </w:t>
      </w:r>
      <w:r>
        <w:rPr>
          <w:sz w:val="22"/>
        </w:rPr>
        <w:t>Facilities</w:t>
      </w:r>
      <w:r>
        <w:rPr>
          <w:spacing w:val="-1"/>
          <w:sz w:val="22"/>
        </w:rPr>
        <w:t> </w:t>
      </w:r>
      <w:r>
        <w:rPr>
          <w:sz w:val="22"/>
        </w:rPr>
        <w:t>use</w:t>
        <w:tab/>
      </w:r>
      <w:r>
        <w:rPr>
          <w:rFonts w:ascii="Wingdings" w:hAnsi="Wingdings"/>
          <w:sz w:val="22"/>
        </w:rPr>
        <w:t></w:t>
      </w:r>
    </w:p>
    <w:p>
      <w:pPr>
        <w:pStyle w:val="BodyText"/>
        <w:spacing w:before="3"/>
        <w:rPr>
          <w:rFonts w:ascii="Wingdings"/>
          <w:sz w:val="21"/>
        </w:rPr>
      </w:pPr>
    </w:p>
    <w:p>
      <w:pPr>
        <w:tabs>
          <w:tab w:pos="4505" w:val="left" w:leader="none"/>
          <w:tab w:pos="8031" w:val="left" w:leader="none"/>
        </w:tabs>
        <w:spacing w:before="0"/>
        <w:ind w:left="818" w:right="0" w:firstLine="0"/>
        <w:jc w:val="both"/>
        <w:rPr>
          <w:rFonts w:ascii="Wingdings" w:hAnsi="Wingdings"/>
          <w:sz w:val="22"/>
        </w:rPr>
      </w:pPr>
      <w:r>
        <w:rPr>
          <w:sz w:val="22"/>
        </w:rPr>
        <w:t>Catering</w:t>
      </w:r>
      <w:r>
        <w:rPr>
          <w:spacing w:val="-2"/>
          <w:sz w:val="22"/>
        </w:rPr>
        <w:t> </w:t>
      </w:r>
      <w:r>
        <w:rPr>
          <w:sz w:val="22"/>
        </w:rPr>
        <w:t>charges</w:t>
        <w:tab/>
      </w:r>
      <w:r>
        <w:rPr>
          <w:rFonts w:ascii="Wingdings" w:hAnsi="Wingdings"/>
          <w:sz w:val="22"/>
        </w:rPr>
        <w:t></w:t>
      </w:r>
      <w:r>
        <w:rPr>
          <w:rFonts w:ascii="Times New Roman" w:hAnsi="Times New Roman"/>
          <w:sz w:val="22"/>
        </w:rPr>
        <w:t>               </w:t>
      </w:r>
      <w:r>
        <w:rPr>
          <w:rFonts w:ascii="Times New Roman" w:hAnsi="Times New Roman"/>
          <w:spacing w:val="5"/>
          <w:sz w:val="22"/>
        </w:rPr>
        <w:t> </w:t>
      </w:r>
      <w:r>
        <w:rPr>
          <w:sz w:val="22"/>
        </w:rPr>
        <w:t>Fundraising</w:t>
        <w:tab/>
      </w:r>
      <w:r>
        <w:rPr>
          <w:rFonts w:ascii="Wingdings" w:hAnsi="Wingdings"/>
          <w:sz w:val="22"/>
        </w:rPr>
        <w:t></w:t>
      </w:r>
    </w:p>
    <w:p>
      <w:pPr>
        <w:pStyle w:val="BodyText"/>
        <w:spacing w:before="5"/>
        <w:rPr>
          <w:rFonts w:ascii="Wingdings"/>
          <w:sz w:val="21"/>
        </w:rPr>
      </w:pPr>
    </w:p>
    <w:p>
      <w:pPr>
        <w:tabs>
          <w:tab w:pos="7592" w:val="left" w:leader="none"/>
        </w:tabs>
        <w:spacing w:before="1"/>
        <w:ind w:left="818" w:right="0" w:firstLine="0"/>
        <w:jc w:val="both"/>
        <w:rPr>
          <w:sz w:val="22"/>
        </w:rPr>
      </w:pPr>
      <w:r>
        <w:rPr>
          <w:sz w:val="22"/>
        </w:rPr>
        <w:t>Other, please</w:t>
      </w:r>
      <w:r>
        <w:rPr>
          <w:spacing w:val="-8"/>
          <w:sz w:val="22"/>
        </w:rPr>
        <w:t> </w:t>
      </w:r>
      <w:r>
        <w:rPr>
          <w:sz w:val="22"/>
        </w:rPr>
        <w:t>specify:</w:t>
      </w:r>
      <w:r>
        <w:rPr>
          <w:spacing w:val="1"/>
          <w:sz w:val="22"/>
        </w:rPr>
        <w:t> </w:t>
      </w:r>
      <w:r>
        <w:rPr>
          <w:w w:val="100"/>
          <w:sz w:val="22"/>
          <w:u w:val="single"/>
        </w:rPr>
        <w:t> </w:t>
      </w:r>
      <w:r>
        <w:rPr>
          <w:sz w:val="22"/>
          <w:u w:val="single"/>
        </w:rPr>
        <w:tab/>
      </w:r>
    </w:p>
    <w:p>
      <w:pPr>
        <w:pStyle w:val="BodyText"/>
        <w:rPr>
          <w:sz w:val="20"/>
        </w:rPr>
      </w:pPr>
    </w:p>
    <w:p>
      <w:pPr>
        <w:pStyle w:val="BodyText"/>
        <w:spacing w:before="1"/>
        <w:rPr>
          <w:sz w:val="20"/>
        </w:rPr>
      </w:pPr>
    </w:p>
    <w:p>
      <w:pPr>
        <w:pStyle w:val="ListParagraph"/>
        <w:numPr>
          <w:ilvl w:val="1"/>
          <w:numId w:val="15"/>
        </w:numPr>
        <w:tabs>
          <w:tab w:pos="829" w:val="left" w:leader="none"/>
          <w:tab w:pos="830" w:val="left" w:leader="none"/>
        </w:tabs>
        <w:spacing w:line="240" w:lineRule="auto" w:before="93" w:after="0"/>
        <w:ind w:left="830" w:right="0" w:hanging="720"/>
        <w:jc w:val="left"/>
        <w:rPr>
          <w:sz w:val="24"/>
        </w:rPr>
      </w:pPr>
      <w:r>
        <w:rPr>
          <w:sz w:val="22"/>
        </w:rPr>
        <w:t>In relation to health and safety would you have the</w:t>
      </w:r>
      <w:r>
        <w:rPr>
          <w:spacing w:val="-16"/>
          <w:sz w:val="22"/>
        </w:rPr>
        <w:t> </w:t>
      </w:r>
      <w:r>
        <w:rPr>
          <w:sz w:val="22"/>
        </w:rPr>
        <w:t>following?</w:t>
      </w:r>
    </w:p>
    <w:p>
      <w:pPr>
        <w:pStyle w:val="BodyText"/>
        <w:spacing w:before="11"/>
        <w:rPr>
          <w:sz w:val="28"/>
        </w:rPr>
      </w:pPr>
    </w:p>
    <w:p>
      <w:pPr>
        <w:tabs>
          <w:tab w:pos="3710" w:val="left" w:leader="none"/>
          <w:tab w:pos="4430" w:val="left" w:leader="none"/>
          <w:tab w:pos="5150" w:val="left" w:leader="none"/>
          <w:tab w:pos="8031" w:val="left" w:leader="none"/>
        </w:tabs>
        <w:spacing w:line="360" w:lineRule="auto" w:before="0"/>
        <w:ind w:left="830" w:right="536" w:firstLine="0"/>
        <w:jc w:val="both"/>
        <w:rPr>
          <w:rFonts w:ascii="Wingdings" w:hAnsi="Wingdings"/>
          <w:sz w:val="22"/>
        </w:rPr>
      </w:pPr>
      <w:r>
        <w:rPr>
          <w:sz w:val="22"/>
        </w:rPr>
        <w:t>Health &amp;</w:t>
      </w:r>
      <w:r>
        <w:rPr>
          <w:spacing w:val="-3"/>
          <w:sz w:val="22"/>
        </w:rPr>
        <w:t> </w:t>
      </w:r>
      <w:r>
        <w:rPr>
          <w:sz w:val="22"/>
        </w:rPr>
        <w:t>Safety</w:t>
      </w:r>
      <w:r>
        <w:rPr>
          <w:spacing w:val="-4"/>
          <w:sz w:val="22"/>
        </w:rPr>
        <w:t> </w:t>
      </w:r>
      <w:r>
        <w:rPr>
          <w:sz w:val="22"/>
        </w:rPr>
        <w:t>Policy</w:t>
        <w:tab/>
      </w:r>
      <w:r>
        <w:rPr>
          <w:rFonts w:ascii="Wingdings" w:hAnsi="Wingdings"/>
          <w:sz w:val="22"/>
        </w:rPr>
        <w:t></w:t>
        <w:tab/>
        <w:tab/>
      </w:r>
      <w:r>
        <w:rPr>
          <w:sz w:val="22"/>
        </w:rPr>
        <w:t>Designated H&amp;S</w:t>
      </w:r>
      <w:r>
        <w:rPr>
          <w:spacing w:val="-3"/>
          <w:sz w:val="22"/>
        </w:rPr>
        <w:t> </w:t>
      </w:r>
      <w:r>
        <w:rPr>
          <w:sz w:val="22"/>
        </w:rPr>
        <w:t>Officer       </w:t>
      </w:r>
      <w:r>
        <w:rPr>
          <w:spacing w:val="50"/>
          <w:sz w:val="22"/>
        </w:rPr>
        <w:t> </w:t>
      </w:r>
      <w:r>
        <w:rPr>
          <w:rFonts w:ascii="Wingdings" w:hAnsi="Wingdings"/>
          <w:sz w:val="22"/>
        </w:rPr>
        <w:t></w:t>
      </w:r>
      <w:r>
        <w:rPr>
          <w:rFonts w:ascii="Wingdings" w:hAnsi="Wingdings"/>
          <w:w w:val="100"/>
          <w:sz w:val="22"/>
        </w:rPr>
        <w:t> </w:t>
      </w:r>
      <w:r>
        <w:rPr>
          <w:sz w:val="22"/>
        </w:rPr>
        <w:t>Fire</w:t>
      </w:r>
      <w:r>
        <w:rPr>
          <w:spacing w:val="-2"/>
          <w:sz w:val="22"/>
        </w:rPr>
        <w:t> </w:t>
      </w:r>
      <w:r>
        <w:rPr>
          <w:sz w:val="22"/>
        </w:rPr>
        <w:t>Certificate</w:t>
        <w:tab/>
      </w:r>
      <w:r>
        <w:rPr>
          <w:rFonts w:ascii="Wingdings" w:hAnsi="Wingdings"/>
          <w:sz w:val="22"/>
        </w:rPr>
        <w:t></w:t>
        <w:tab/>
        <w:tab/>
      </w:r>
      <w:r>
        <w:rPr>
          <w:sz w:val="22"/>
        </w:rPr>
        <w:t>Fire</w:t>
      </w:r>
      <w:r>
        <w:rPr>
          <w:spacing w:val="-2"/>
          <w:sz w:val="22"/>
        </w:rPr>
        <w:t> </w:t>
      </w:r>
      <w:r>
        <w:rPr>
          <w:sz w:val="22"/>
        </w:rPr>
        <w:t>Safety</w:t>
      </w:r>
      <w:r>
        <w:rPr>
          <w:spacing w:val="-4"/>
          <w:sz w:val="22"/>
        </w:rPr>
        <w:t> </w:t>
      </w:r>
      <w:r>
        <w:rPr>
          <w:sz w:val="22"/>
        </w:rPr>
        <w:t>Policy</w:t>
        <w:tab/>
      </w:r>
      <w:r>
        <w:rPr>
          <w:rFonts w:ascii="Wingdings" w:hAnsi="Wingdings"/>
          <w:sz w:val="22"/>
        </w:rPr>
        <w:t></w:t>
      </w:r>
      <w:r>
        <w:rPr>
          <w:rFonts w:ascii="Times New Roman" w:hAnsi="Times New Roman"/>
          <w:sz w:val="22"/>
        </w:rPr>
        <w:t> </w:t>
      </w:r>
      <w:r>
        <w:rPr>
          <w:sz w:val="22"/>
        </w:rPr>
        <w:t>Exit strategy in the case</w:t>
      </w:r>
      <w:r>
        <w:rPr>
          <w:spacing w:val="-9"/>
          <w:sz w:val="22"/>
        </w:rPr>
        <w:t> </w:t>
      </w:r>
      <w:r>
        <w:rPr>
          <w:sz w:val="22"/>
        </w:rPr>
        <w:t>of</w:t>
      </w:r>
      <w:r>
        <w:rPr>
          <w:spacing w:val="0"/>
          <w:sz w:val="22"/>
        </w:rPr>
        <w:t> </w:t>
      </w:r>
      <w:r>
        <w:rPr>
          <w:sz w:val="22"/>
        </w:rPr>
        <w:t>fire</w:t>
        <w:tab/>
      </w:r>
      <w:r>
        <w:rPr>
          <w:rFonts w:ascii="Wingdings" w:hAnsi="Wingdings"/>
          <w:sz w:val="22"/>
        </w:rPr>
        <w:t></w:t>
      </w:r>
    </w:p>
    <w:p>
      <w:pPr>
        <w:pStyle w:val="BodyText"/>
        <w:rPr>
          <w:rFonts w:ascii="Wingdings"/>
        </w:rPr>
      </w:pPr>
    </w:p>
    <w:p>
      <w:pPr>
        <w:pStyle w:val="BodyText"/>
        <w:spacing w:before="4"/>
        <w:rPr>
          <w:rFonts w:ascii="Wingdings"/>
          <w:sz w:val="28"/>
        </w:rPr>
      </w:pPr>
    </w:p>
    <w:p>
      <w:pPr>
        <w:pStyle w:val="ListParagraph"/>
        <w:numPr>
          <w:ilvl w:val="1"/>
          <w:numId w:val="15"/>
        </w:numPr>
        <w:tabs>
          <w:tab w:pos="817" w:val="left" w:leader="none"/>
          <w:tab w:pos="818" w:val="left" w:leader="none"/>
          <w:tab w:pos="5870" w:val="left" w:leader="none"/>
          <w:tab w:pos="6591" w:val="left" w:leader="none"/>
          <w:tab w:pos="7311" w:val="left" w:leader="none"/>
          <w:tab w:pos="8031" w:val="left" w:leader="none"/>
        </w:tabs>
        <w:spacing w:line="362" w:lineRule="auto" w:before="0" w:after="0"/>
        <w:ind w:left="818" w:right="536" w:hanging="708"/>
        <w:jc w:val="left"/>
        <w:rPr>
          <w:sz w:val="22"/>
        </w:rPr>
      </w:pPr>
      <w:r>
        <w:rPr>
          <w:sz w:val="22"/>
        </w:rPr>
        <w:t>Would your group/organisation be interested in participating in Community Development Training?</w:t>
        <w:tab/>
        <w:t>Yes</w:t>
        <w:tab/>
      </w:r>
      <w:r>
        <w:rPr>
          <w:rFonts w:ascii="Wingdings" w:hAnsi="Wingdings"/>
          <w:sz w:val="22"/>
        </w:rPr>
        <w:t></w:t>
        <w:tab/>
      </w:r>
      <w:r>
        <w:rPr>
          <w:sz w:val="22"/>
        </w:rPr>
        <w:t>No</w:t>
        <w:tab/>
      </w:r>
      <w:r>
        <w:rPr>
          <w:rFonts w:ascii="Wingdings" w:hAnsi="Wingdings"/>
          <w:sz w:val="22"/>
        </w:rPr>
        <w:t></w:t>
      </w:r>
    </w:p>
    <w:p>
      <w:pPr>
        <w:spacing w:after="0" w:line="362" w:lineRule="auto"/>
        <w:jc w:val="left"/>
        <w:rPr>
          <w:sz w:val="22"/>
        </w:rPr>
        <w:sectPr>
          <w:headerReference w:type="default" r:id="rId54"/>
          <w:footerReference w:type="default" r:id="rId55"/>
          <w:pgSz w:w="11910" w:h="17340"/>
          <w:pgMar w:header="759" w:footer="0" w:top="940" w:bottom="280" w:left="1460" w:right="1680"/>
        </w:sectPr>
      </w:pPr>
    </w:p>
    <w:p>
      <w:pPr>
        <w:pStyle w:val="BodyText"/>
        <w:spacing w:before="2"/>
        <w:rPr>
          <w:rFonts w:ascii="Wingdings"/>
          <w:sz w:val="16"/>
        </w:rPr>
      </w:pPr>
    </w:p>
    <w:p>
      <w:pPr>
        <w:pStyle w:val="Heading2"/>
      </w:pPr>
      <w:r>
        <w:rPr/>
        <w:t>SECTION 4: Size &amp; Condition of the Facility</w:t>
      </w:r>
    </w:p>
    <w:p>
      <w:pPr>
        <w:pStyle w:val="BodyText"/>
        <w:rPr>
          <w:b/>
          <w:sz w:val="36"/>
        </w:rPr>
      </w:pPr>
    </w:p>
    <w:p>
      <w:pPr>
        <w:pStyle w:val="ListParagraph"/>
        <w:numPr>
          <w:ilvl w:val="1"/>
          <w:numId w:val="16"/>
        </w:numPr>
        <w:tabs>
          <w:tab w:pos="869" w:val="left" w:leader="none"/>
          <w:tab w:pos="870" w:val="left" w:leader="none"/>
        </w:tabs>
        <w:spacing w:line="240" w:lineRule="auto" w:before="238" w:after="0"/>
        <w:ind w:left="870" w:right="0" w:hanging="720"/>
        <w:jc w:val="left"/>
        <w:rPr>
          <w:sz w:val="22"/>
        </w:rPr>
      </w:pPr>
      <w:r>
        <w:rPr>
          <w:sz w:val="22"/>
        </w:rPr>
        <w:t>What rooms are available within your</w:t>
      </w:r>
      <w:r>
        <w:rPr>
          <w:spacing w:val="-19"/>
          <w:sz w:val="22"/>
        </w:rPr>
        <w:t> </w:t>
      </w:r>
      <w:r>
        <w:rPr>
          <w:sz w:val="22"/>
        </w:rPr>
        <w:t>facility?</w:t>
      </w:r>
    </w:p>
    <w:p>
      <w:pPr>
        <w:tabs>
          <w:tab w:pos="4470" w:val="left" w:leader="none"/>
          <w:tab w:pos="5910" w:val="left" w:leader="none"/>
          <w:tab w:pos="8071" w:val="left" w:leader="none"/>
        </w:tabs>
        <w:spacing w:before="203"/>
        <w:ind w:left="870" w:right="0" w:firstLine="0"/>
        <w:jc w:val="left"/>
        <w:rPr>
          <w:rFonts w:ascii="Wingdings" w:hAnsi="Wingdings"/>
          <w:sz w:val="22"/>
        </w:rPr>
      </w:pPr>
      <w:r>
        <w:rPr>
          <w:sz w:val="22"/>
        </w:rPr>
        <w:t>Computer suite</w:t>
      </w:r>
      <w:r>
        <w:rPr>
          <w:spacing w:val="-6"/>
          <w:sz w:val="22"/>
        </w:rPr>
        <w:t> </w:t>
      </w:r>
      <w:r>
        <w:rPr>
          <w:sz w:val="22"/>
        </w:rPr>
        <w:t>for</w:t>
      </w:r>
      <w:r>
        <w:rPr>
          <w:spacing w:val="-2"/>
          <w:sz w:val="22"/>
        </w:rPr>
        <w:t> </w:t>
      </w:r>
      <w:r>
        <w:rPr>
          <w:sz w:val="22"/>
        </w:rPr>
        <w:t>training</w:t>
        <w:tab/>
      </w:r>
      <w:r>
        <w:rPr>
          <w:rFonts w:ascii="Wingdings" w:hAnsi="Wingdings"/>
          <w:sz w:val="22"/>
        </w:rPr>
        <w:t></w:t>
        <w:tab/>
      </w:r>
      <w:r>
        <w:rPr>
          <w:sz w:val="22"/>
        </w:rPr>
        <w:t>Kitchen</w:t>
        <w:tab/>
      </w:r>
      <w:r>
        <w:rPr>
          <w:rFonts w:ascii="Wingdings" w:hAnsi="Wingdings"/>
          <w:sz w:val="22"/>
        </w:rPr>
        <w:t></w:t>
      </w:r>
    </w:p>
    <w:p>
      <w:pPr>
        <w:tabs>
          <w:tab w:pos="4470" w:val="left" w:leader="none"/>
          <w:tab w:pos="5910" w:val="left" w:leader="none"/>
          <w:tab w:pos="8071" w:val="left" w:leader="none"/>
        </w:tabs>
        <w:spacing w:before="198"/>
        <w:ind w:left="870" w:right="0" w:firstLine="0"/>
        <w:jc w:val="left"/>
        <w:rPr>
          <w:rFonts w:ascii="Wingdings" w:hAnsi="Wingdings"/>
          <w:sz w:val="22"/>
        </w:rPr>
      </w:pPr>
      <w:r>
        <w:rPr>
          <w:sz w:val="22"/>
        </w:rPr>
        <w:t>Changing</w:t>
      </w:r>
      <w:r>
        <w:rPr>
          <w:spacing w:val="-1"/>
          <w:sz w:val="22"/>
        </w:rPr>
        <w:t> </w:t>
      </w:r>
      <w:r>
        <w:rPr>
          <w:sz w:val="22"/>
        </w:rPr>
        <w:t>Rooms</w:t>
        <w:tab/>
      </w:r>
      <w:r>
        <w:rPr>
          <w:rFonts w:ascii="Wingdings" w:hAnsi="Wingdings"/>
          <w:sz w:val="22"/>
        </w:rPr>
        <w:t></w:t>
        <w:tab/>
      </w:r>
      <w:r>
        <w:rPr>
          <w:sz w:val="22"/>
        </w:rPr>
        <w:t>Sports</w:t>
      </w:r>
      <w:r>
        <w:rPr>
          <w:spacing w:val="-3"/>
          <w:sz w:val="22"/>
        </w:rPr>
        <w:t> </w:t>
      </w:r>
      <w:r>
        <w:rPr>
          <w:sz w:val="22"/>
        </w:rPr>
        <w:t>Hall</w:t>
        <w:tab/>
      </w:r>
      <w:r>
        <w:rPr>
          <w:rFonts w:ascii="Wingdings" w:hAnsi="Wingdings"/>
          <w:sz w:val="22"/>
        </w:rPr>
        <w:t></w:t>
      </w:r>
    </w:p>
    <w:p>
      <w:pPr>
        <w:tabs>
          <w:tab w:pos="4470" w:val="left" w:leader="none"/>
          <w:tab w:pos="5910" w:val="left" w:leader="none"/>
          <w:tab w:pos="8071" w:val="left" w:leader="none"/>
        </w:tabs>
        <w:spacing w:before="200"/>
        <w:ind w:left="870" w:right="0" w:firstLine="0"/>
        <w:jc w:val="left"/>
        <w:rPr>
          <w:rFonts w:ascii="Wingdings" w:hAnsi="Wingdings"/>
          <w:sz w:val="22"/>
        </w:rPr>
      </w:pPr>
      <w:r>
        <w:rPr>
          <w:sz w:val="22"/>
        </w:rPr>
        <w:t>Office</w:t>
        <w:tab/>
      </w:r>
      <w:r>
        <w:rPr>
          <w:rFonts w:ascii="Wingdings" w:hAnsi="Wingdings"/>
          <w:sz w:val="22"/>
        </w:rPr>
        <w:t></w:t>
        <w:tab/>
      </w:r>
      <w:r>
        <w:rPr>
          <w:sz w:val="22"/>
        </w:rPr>
        <w:t>Storage</w:t>
        <w:tab/>
      </w:r>
      <w:r>
        <w:rPr>
          <w:rFonts w:ascii="Wingdings" w:hAnsi="Wingdings"/>
          <w:sz w:val="22"/>
        </w:rPr>
        <w:t></w:t>
      </w:r>
    </w:p>
    <w:p>
      <w:pPr>
        <w:tabs>
          <w:tab w:pos="7829" w:val="left" w:leader="none"/>
        </w:tabs>
        <w:spacing w:before="200"/>
        <w:ind w:left="870" w:right="0" w:firstLine="0"/>
        <w:jc w:val="left"/>
        <w:rPr>
          <w:sz w:val="22"/>
        </w:rPr>
      </w:pPr>
      <w:r>
        <w:rPr>
          <w:sz w:val="22"/>
        </w:rPr>
        <w:t>Other, please</w:t>
      </w:r>
      <w:r>
        <w:rPr>
          <w:spacing w:val="-8"/>
          <w:sz w:val="22"/>
        </w:rPr>
        <w:t> </w:t>
      </w:r>
      <w:r>
        <w:rPr>
          <w:sz w:val="22"/>
        </w:rPr>
        <w:t>specify:</w:t>
      </w:r>
      <w:r>
        <w:rPr>
          <w:sz w:val="22"/>
          <w:u w:val="single"/>
        </w:rPr>
        <w:t> </w:t>
        <w:tab/>
      </w:r>
    </w:p>
    <w:p>
      <w:pPr>
        <w:pStyle w:val="BodyText"/>
        <w:rPr>
          <w:sz w:val="20"/>
        </w:rPr>
      </w:pPr>
    </w:p>
    <w:p>
      <w:pPr>
        <w:pStyle w:val="BodyText"/>
        <w:spacing w:before="4"/>
        <w:rPr>
          <w:sz w:val="28"/>
        </w:rPr>
      </w:pPr>
    </w:p>
    <w:p>
      <w:pPr>
        <w:pStyle w:val="ListParagraph"/>
        <w:numPr>
          <w:ilvl w:val="1"/>
          <w:numId w:val="16"/>
        </w:numPr>
        <w:tabs>
          <w:tab w:pos="869" w:val="left" w:leader="none"/>
          <w:tab w:pos="870" w:val="left" w:leader="none"/>
          <w:tab w:pos="5910" w:val="left" w:leader="none"/>
          <w:tab w:pos="6631" w:val="left" w:leader="none"/>
          <w:tab w:pos="7351" w:val="left" w:leader="none"/>
          <w:tab w:pos="8071" w:val="left" w:leader="none"/>
        </w:tabs>
        <w:spacing w:line="240" w:lineRule="auto" w:before="94" w:after="0"/>
        <w:ind w:left="870" w:right="0" w:hanging="720"/>
        <w:jc w:val="left"/>
        <w:rPr>
          <w:rFonts w:ascii="Wingdings" w:hAnsi="Wingdings"/>
          <w:sz w:val="22"/>
        </w:rPr>
      </w:pPr>
      <w:r>
        <w:rPr>
          <w:sz w:val="22"/>
        </w:rPr>
        <w:t>Has the facility a</w:t>
      </w:r>
      <w:r>
        <w:rPr>
          <w:spacing w:val="-11"/>
          <w:sz w:val="22"/>
        </w:rPr>
        <w:t> </w:t>
      </w:r>
      <w:r>
        <w:rPr>
          <w:sz w:val="22"/>
        </w:rPr>
        <w:t>meeting</w:t>
      </w:r>
      <w:r>
        <w:rPr>
          <w:spacing w:val="-1"/>
          <w:sz w:val="22"/>
        </w:rPr>
        <w:t> </w:t>
      </w:r>
      <w:r>
        <w:rPr>
          <w:sz w:val="22"/>
        </w:rPr>
        <w:t>room?</w:t>
        <w:tab/>
        <w:t>Yes</w:t>
        <w:tab/>
      </w:r>
      <w:r>
        <w:rPr>
          <w:rFonts w:ascii="Wingdings" w:hAnsi="Wingdings"/>
          <w:sz w:val="22"/>
        </w:rPr>
        <w:t></w:t>
        <w:tab/>
      </w:r>
      <w:r>
        <w:rPr>
          <w:sz w:val="22"/>
        </w:rPr>
        <w:t>No</w:t>
        <w:tab/>
      </w:r>
      <w:r>
        <w:rPr>
          <w:rFonts w:ascii="Wingdings" w:hAnsi="Wingdings"/>
          <w:sz w:val="22"/>
        </w:rPr>
        <w:t></w:t>
      </w:r>
    </w:p>
    <w:p>
      <w:pPr>
        <w:pStyle w:val="BodyText"/>
        <w:spacing w:before="6"/>
        <w:rPr>
          <w:rFonts w:ascii="Wingdings"/>
          <w:sz w:val="21"/>
        </w:rPr>
      </w:pPr>
    </w:p>
    <w:p>
      <w:pPr>
        <w:tabs>
          <w:tab w:pos="6284" w:val="left" w:leader="none"/>
        </w:tabs>
        <w:spacing w:before="0"/>
        <w:ind w:left="870" w:right="0" w:firstLine="0"/>
        <w:jc w:val="left"/>
        <w:rPr>
          <w:sz w:val="22"/>
        </w:rPr>
      </w:pPr>
      <w:r>
        <w:rPr>
          <w:sz w:val="22"/>
        </w:rPr>
        <w:t>If </w:t>
      </w:r>
      <w:r>
        <w:rPr>
          <w:b/>
          <w:sz w:val="22"/>
        </w:rPr>
        <w:t>Yes, </w:t>
      </w:r>
      <w:r>
        <w:rPr>
          <w:sz w:val="22"/>
        </w:rPr>
        <w:t>how many meeting</w:t>
      </w:r>
      <w:r>
        <w:rPr>
          <w:spacing w:val="-8"/>
          <w:sz w:val="22"/>
        </w:rPr>
        <w:t> </w:t>
      </w:r>
      <w:r>
        <w:rPr>
          <w:sz w:val="22"/>
        </w:rPr>
        <w:t>rooms?</w:t>
      </w:r>
      <w:r>
        <w:rPr>
          <w:spacing w:val="0"/>
          <w:sz w:val="22"/>
        </w:rPr>
        <w:t> </w:t>
      </w:r>
      <w:r>
        <w:rPr>
          <w:w w:val="100"/>
          <w:sz w:val="22"/>
          <w:u w:val="single"/>
        </w:rPr>
        <w:t> </w:t>
      </w:r>
      <w:r>
        <w:rPr>
          <w:sz w:val="22"/>
          <w:u w:val="single"/>
        </w:rPr>
        <w:tab/>
      </w:r>
    </w:p>
    <w:p>
      <w:pPr>
        <w:pStyle w:val="BodyText"/>
        <w:spacing w:before="9"/>
        <w:rPr>
          <w:sz w:val="12"/>
        </w:rPr>
      </w:pPr>
    </w:p>
    <w:p>
      <w:pPr>
        <w:spacing w:before="94"/>
        <w:ind w:left="858" w:right="3252" w:firstLine="0"/>
        <w:jc w:val="center"/>
        <w:rPr>
          <w:sz w:val="22"/>
        </w:rPr>
      </w:pPr>
      <w:r>
        <w:rPr>
          <w:sz w:val="22"/>
        </w:rPr>
        <w:t>Please specify the capacity of the biggest room:</w:t>
      </w:r>
    </w:p>
    <w:p>
      <w:pPr>
        <w:pStyle w:val="BodyText"/>
        <w:spacing w:before="6"/>
        <w:rPr>
          <w:sz w:val="20"/>
        </w:rPr>
      </w:pPr>
    </w:p>
    <w:p>
      <w:pPr>
        <w:tabs>
          <w:tab w:pos="3469" w:val="left" w:leader="none"/>
          <w:tab w:pos="5010" w:val="left" w:leader="none"/>
          <w:tab w:pos="8071" w:val="left" w:leader="none"/>
        </w:tabs>
        <w:spacing w:before="0"/>
        <w:ind w:left="630" w:right="0" w:firstLine="0"/>
        <w:jc w:val="left"/>
        <w:rPr>
          <w:rFonts w:ascii="Wingdings" w:hAnsi="Wingdings"/>
          <w:sz w:val="22"/>
        </w:rPr>
      </w:pPr>
      <w:r>
        <w:rPr>
          <w:sz w:val="22"/>
        </w:rPr>
        <w:t>Up to 20</w:t>
      </w:r>
      <w:r>
        <w:rPr>
          <w:spacing w:val="-2"/>
          <w:sz w:val="22"/>
        </w:rPr>
        <w:t> </w:t>
      </w:r>
      <w:r>
        <w:rPr>
          <w:sz w:val="22"/>
        </w:rPr>
        <w:t>people</w:t>
      </w:r>
      <w:r>
        <w:rPr>
          <w:spacing w:val="-1"/>
          <w:sz w:val="22"/>
        </w:rPr>
        <w:t> </w:t>
      </w:r>
      <w:r>
        <w:rPr>
          <w:sz w:val="22"/>
        </w:rPr>
        <w:t>approx</w:t>
        <w:tab/>
        <w:t>.</w:t>
      </w:r>
      <w:r>
        <w:rPr>
          <w:spacing w:val="-1"/>
          <w:sz w:val="22"/>
        </w:rPr>
        <w:t> </w:t>
      </w:r>
      <w:r>
        <w:rPr>
          <w:rFonts w:ascii="Wingdings" w:hAnsi="Wingdings"/>
          <w:sz w:val="22"/>
        </w:rPr>
        <w:t></w:t>
        <w:tab/>
      </w:r>
      <w:r>
        <w:rPr>
          <w:sz w:val="22"/>
        </w:rPr>
        <w:t>Up to 50</w:t>
      </w:r>
      <w:r>
        <w:rPr>
          <w:spacing w:val="-4"/>
          <w:sz w:val="22"/>
        </w:rPr>
        <w:t> </w:t>
      </w:r>
      <w:r>
        <w:rPr>
          <w:sz w:val="22"/>
        </w:rPr>
        <w:t>people</w:t>
      </w:r>
      <w:r>
        <w:rPr>
          <w:spacing w:val="-1"/>
          <w:sz w:val="22"/>
        </w:rPr>
        <w:t> </w:t>
      </w:r>
      <w:r>
        <w:rPr>
          <w:sz w:val="22"/>
        </w:rPr>
        <w:t>approx.</w:t>
        <w:tab/>
      </w:r>
      <w:r>
        <w:rPr>
          <w:rFonts w:ascii="Wingdings" w:hAnsi="Wingdings"/>
          <w:sz w:val="22"/>
        </w:rPr>
        <w:t></w:t>
      </w:r>
    </w:p>
    <w:p>
      <w:pPr>
        <w:pStyle w:val="BodyText"/>
        <w:spacing w:before="5"/>
        <w:rPr>
          <w:rFonts w:ascii="Wingdings"/>
          <w:sz w:val="21"/>
        </w:rPr>
      </w:pPr>
    </w:p>
    <w:p>
      <w:pPr>
        <w:tabs>
          <w:tab w:pos="5799" w:val="left" w:leader="none"/>
        </w:tabs>
        <w:spacing w:before="0"/>
        <w:ind w:left="630" w:right="0" w:firstLine="0"/>
        <w:jc w:val="left"/>
        <w:rPr>
          <w:sz w:val="22"/>
        </w:rPr>
      </w:pPr>
      <w:r>
        <w:rPr>
          <w:sz w:val="22"/>
        </w:rPr>
        <w:t>If over 50 people, please</w:t>
      </w:r>
      <w:r>
        <w:rPr>
          <w:spacing w:val="-7"/>
          <w:sz w:val="22"/>
        </w:rPr>
        <w:t> </w:t>
      </w:r>
      <w:r>
        <w:rPr>
          <w:sz w:val="22"/>
        </w:rPr>
        <w:t>specify:</w:t>
      </w:r>
      <w:r>
        <w:rPr>
          <w:spacing w:val="1"/>
          <w:sz w:val="22"/>
        </w:rPr>
        <w:t> </w:t>
      </w:r>
      <w:r>
        <w:rPr>
          <w:w w:val="100"/>
          <w:sz w:val="22"/>
          <w:u w:val="single"/>
        </w:rPr>
        <w:t> </w:t>
      </w:r>
      <w:r>
        <w:rPr>
          <w:sz w:val="22"/>
          <w:u w:val="single"/>
        </w:rPr>
        <w:tab/>
      </w:r>
    </w:p>
    <w:p>
      <w:pPr>
        <w:pStyle w:val="BodyText"/>
        <w:rPr>
          <w:sz w:val="20"/>
        </w:rPr>
      </w:pPr>
    </w:p>
    <w:p>
      <w:pPr>
        <w:pStyle w:val="BodyText"/>
        <w:rPr>
          <w:sz w:val="20"/>
        </w:rPr>
      </w:pPr>
    </w:p>
    <w:p>
      <w:pPr>
        <w:pStyle w:val="BodyText"/>
        <w:spacing w:before="7" w:after="1"/>
        <w:rPr>
          <w:sz w:val="23"/>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3"/>
        <w:gridCol w:w="2304"/>
        <w:gridCol w:w="4637"/>
        <w:gridCol w:w="714"/>
      </w:tblGrid>
      <w:tr>
        <w:trPr>
          <w:trHeight w:val="360" w:hRule="atLeast"/>
        </w:trPr>
        <w:tc>
          <w:tcPr>
            <w:tcW w:w="563" w:type="dxa"/>
          </w:tcPr>
          <w:p>
            <w:pPr>
              <w:pStyle w:val="TableParagraph"/>
              <w:spacing w:line="247" w:lineRule="exact"/>
              <w:ind w:left="50"/>
              <w:rPr>
                <w:b/>
                <w:sz w:val="22"/>
              </w:rPr>
            </w:pPr>
            <w:r>
              <w:rPr>
                <w:b/>
                <w:sz w:val="22"/>
              </w:rPr>
              <w:t>4.3</w:t>
            </w:r>
          </w:p>
        </w:tc>
        <w:tc>
          <w:tcPr>
            <w:tcW w:w="2304" w:type="dxa"/>
          </w:tcPr>
          <w:p>
            <w:pPr>
              <w:pStyle w:val="TableParagraph"/>
              <w:spacing w:line="247" w:lineRule="exact"/>
              <w:ind w:left="206"/>
              <w:rPr>
                <w:sz w:val="22"/>
              </w:rPr>
            </w:pPr>
            <w:r>
              <w:rPr>
                <w:sz w:val="22"/>
              </w:rPr>
              <w:t>When was the facility</w:t>
            </w:r>
          </w:p>
        </w:tc>
        <w:tc>
          <w:tcPr>
            <w:tcW w:w="4637" w:type="dxa"/>
          </w:tcPr>
          <w:p>
            <w:pPr>
              <w:pStyle w:val="TableParagraph"/>
              <w:spacing w:line="247" w:lineRule="exact"/>
              <w:ind w:left="29"/>
              <w:rPr>
                <w:sz w:val="22"/>
              </w:rPr>
            </w:pPr>
            <w:r>
              <w:rPr>
                <w:sz w:val="22"/>
              </w:rPr>
              <w:t>built?</w:t>
            </w:r>
          </w:p>
        </w:tc>
        <w:tc>
          <w:tcPr>
            <w:tcW w:w="714" w:type="dxa"/>
          </w:tcPr>
          <w:p>
            <w:pPr>
              <w:pStyle w:val="TableParagraph"/>
              <w:spacing w:line="240" w:lineRule="auto"/>
              <w:rPr>
                <w:rFonts w:ascii="Times New Roman"/>
                <w:sz w:val="22"/>
              </w:rPr>
            </w:pPr>
          </w:p>
        </w:tc>
      </w:tr>
      <w:tr>
        <w:trPr>
          <w:trHeight w:val="480" w:hRule="atLeast"/>
        </w:trPr>
        <w:tc>
          <w:tcPr>
            <w:tcW w:w="563" w:type="dxa"/>
          </w:tcPr>
          <w:p>
            <w:pPr>
              <w:pStyle w:val="TableParagraph"/>
              <w:spacing w:line="240" w:lineRule="auto"/>
              <w:rPr>
                <w:rFonts w:ascii="Times New Roman"/>
                <w:sz w:val="22"/>
              </w:rPr>
            </w:pPr>
          </w:p>
        </w:tc>
        <w:tc>
          <w:tcPr>
            <w:tcW w:w="2304" w:type="dxa"/>
          </w:tcPr>
          <w:p>
            <w:pPr>
              <w:pStyle w:val="TableParagraph"/>
              <w:spacing w:line="240" w:lineRule="auto" w:before="116"/>
              <w:ind w:left="206"/>
              <w:rPr>
                <w:sz w:val="22"/>
              </w:rPr>
            </w:pPr>
            <w:r>
              <w:rPr>
                <w:sz w:val="22"/>
              </w:rPr>
              <w:t>Before  1900</w:t>
            </w:r>
          </w:p>
        </w:tc>
        <w:tc>
          <w:tcPr>
            <w:tcW w:w="4637" w:type="dxa"/>
          </w:tcPr>
          <w:p>
            <w:pPr>
              <w:pStyle w:val="TableParagraph"/>
              <w:tabs>
                <w:tab w:pos="2943" w:val="left" w:leader="none"/>
              </w:tabs>
              <w:spacing w:line="240" w:lineRule="auto" w:before="116"/>
              <w:ind w:left="63"/>
              <w:rPr>
                <w:sz w:val="22"/>
              </w:rPr>
            </w:pPr>
            <w:r>
              <w:rPr>
                <w:rFonts w:ascii="Wingdings" w:hAnsi="Wingdings"/>
                <w:sz w:val="22"/>
              </w:rPr>
              <w:t></w:t>
              <w:tab/>
            </w:r>
            <w:r>
              <w:rPr>
                <w:sz w:val="22"/>
              </w:rPr>
              <w:t>1961 –</w:t>
            </w:r>
            <w:r>
              <w:rPr>
                <w:spacing w:val="-3"/>
                <w:sz w:val="22"/>
              </w:rPr>
              <w:t> </w:t>
            </w:r>
            <w:r>
              <w:rPr>
                <w:sz w:val="22"/>
              </w:rPr>
              <w:t>1980</w:t>
            </w:r>
          </w:p>
        </w:tc>
        <w:tc>
          <w:tcPr>
            <w:tcW w:w="714" w:type="dxa"/>
          </w:tcPr>
          <w:p>
            <w:pPr>
              <w:pStyle w:val="TableParagraph"/>
              <w:spacing w:line="240" w:lineRule="auto" w:before="124"/>
              <w:ind w:left="466"/>
              <w:rPr>
                <w:rFonts w:ascii="Wingdings" w:hAnsi="Wingdings"/>
                <w:sz w:val="22"/>
              </w:rPr>
            </w:pPr>
            <w:r>
              <w:rPr>
                <w:rFonts w:ascii="Wingdings" w:hAnsi="Wingdings"/>
                <w:w w:val="100"/>
                <w:sz w:val="22"/>
              </w:rPr>
              <w:t></w:t>
            </w:r>
          </w:p>
        </w:tc>
      </w:tr>
      <w:tr>
        <w:trPr>
          <w:trHeight w:val="980" w:hRule="atLeast"/>
        </w:trPr>
        <w:tc>
          <w:tcPr>
            <w:tcW w:w="563" w:type="dxa"/>
          </w:tcPr>
          <w:p>
            <w:pPr>
              <w:pStyle w:val="TableParagraph"/>
              <w:spacing w:line="240" w:lineRule="auto"/>
              <w:rPr>
                <w:rFonts w:ascii="Times New Roman"/>
                <w:sz w:val="22"/>
              </w:rPr>
            </w:pPr>
          </w:p>
        </w:tc>
        <w:tc>
          <w:tcPr>
            <w:tcW w:w="2304" w:type="dxa"/>
          </w:tcPr>
          <w:p>
            <w:pPr>
              <w:pStyle w:val="TableParagraph"/>
              <w:spacing w:line="240" w:lineRule="auto" w:before="116"/>
              <w:ind w:left="206"/>
              <w:rPr>
                <w:sz w:val="22"/>
              </w:rPr>
            </w:pPr>
            <w:r>
              <w:rPr>
                <w:sz w:val="22"/>
              </w:rPr>
              <w:t>1901 – 1920</w:t>
            </w:r>
          </w:p>
          <w:p>
            <w:pPr>
              <w:pStyle w:val="TableParagraph"/>
              <w:spacing w:line="240" w:lineRule="auto" w:before="6"/>
              <w:rPr>
                <w:sz w:val="20"/>
              </w:rPr>
            </w:pPr>
          </w:p>
          <w:p>
            <w:pPr>
              <w:pStyle w:val="TableParagraph"/>
              <w:spacing w:line="240" w:lineRule="auto"/>
              <w:ind w:left="206"/>
              <w:rPr>
                <w:sz w:val="22"/>
              </w:rPr>
            </w:pPr>
            <w:r>
              <w:rPr>
                <w:sz w:val="22"/>
              </w:rPr>
              <w:t>1921 – 1940</w:t>
            </w:r>
          </w:p>
        </w:tc>
        <w:tc>
          <w:tcPr>
            <w:tcW w:w="4637" w:type="dxa"/>
          </w:tcPr>
          <w:p>
            <w:pPr>
              <w:pStyle w:val="TableParagraph"/>
              <w:tabs>
                <w:tab w:pos="2943" w:val="left" w:leader="none"/>
              </w:tabs>
              <w:spacing w:line="240" w:lineRule="auto" w:before="116"/>
              <w:ind w:left="63"/>
              <w:rPr>
                <w:sz w:val="22"/>
              </w:rPr>
            </w:pPr>
            <w:r>
              <w:rPr>
                <w:rFonts w:ascii="Wingdings" w:hAnsi="Wingdings"/>
                <w:sz w:val="22"/>
              </w:rPr>
              <w:t></w:t>
              <w:tab/>
            </w:r>
            <w:r>
              <w:rPr>
                <w:sz w:val="22"/>
              </w:rPr>
              <w:t>1981 –</w:t>
            </w:r>
            <w:r>
              <w:rPr>
                <w:spacing w:val="-3"/>
                <w:sz w:val="22"/>
              </w:rPr>
              <w:t> </w:t>
            </w:r>
            <w:r>
              <w:rPr>
                <w:sz w:val="22"/>
              </w:rPr>
              <w:t>2000</w:t>
            </w:r>
          </w:p>
          <w:p>
            <w:pPr>
              <w:pStyle w:val="TableParagraph"/>
              <w:spacing w:line="240" w:lineRule="auto" w:before="6"/>
              <w:rPr>
                <w:sz w:val="20"/>
              </w:rPr>
            </w:pPr>
          </w:p>
          <w:p>
            <w:pPr>
              <w:pStyle w:val="TableParagraph"/>
              <w:tabs>
                <w:tab w:pos="2943" w:val="left" w:leader="none"/>
              </w:tabs>
              <w:spacing w:line="240" w:lineRule="auto"/>
              <w:ind w:left="63"/>
              <w:rPr>
                <w:sz w:val="22"/>
              </w:rPr>
            </w:pPr>
            <w:r>
              <w:rPr>
                <w:rFonts w:ascii="Wingdings" w:hAnsi="Wingdings"/>
                <w:sz w:val="22"/>
              </w:rPr>
              <w:t></w:t>
              <w:tab/>
            </w:r>
            <w:r>
              <w:rPr>
                <w:sz w:val="22"/>
              </w:rPr>
              <w:t>2001 –</w:t>
            </w:r>
            <w:r>
              <w:rPr>
                <w:spacing w:val="-3"/>
                <w:sz w:val="22"/>
              </w:rPr>
              <w:t> </w:t>
            </w:r>
            <w:r>
              <w:rPr>
                <w:sz w:val="22"/>
              </w:rPr>
              <w:t>2016</w:t>
            </w:r>
          </w:p>
        </w:tc>
        <w:tc>
          <w:tcPr>
            <w:tcW w:w="714" w:type="dxa"/>
          </w:tcPr>
          <w:p>
            <w:pPr>
              <w:pStyle w:val="TableParagraph"/>
              <w:spacing w:line="240" w:lineRule="auto" w:before="124"/>
              <w:ind w:left="466"/>
              <w:rPr>
                <w:rFonts w:ascii="Wingdings" w:hAnsi="Wingdings"/>
                <w:sz w:val="22"/>
              </w:rPr>
            </w:pPr>
            <w:r>
              <w:rPr>
                <w:rFonts w:ascii="Wingdings" w:hAnsi="Wingdings"/>
                <w:w w:val="100"/>
                <w:sz w:val="22"/>
              </w:rPr>
              <w:t></w:t>
            </w:r>
          </w:p>
          <w:p>
            <w:pPr>
              <w:pStyle w:val="TableParagraph"/>
              <w:spacing w:line="240" w:lineRule="auto" w:before="3"/>
              <w:rPr>
                <w:sz w:val="21"/>
              </w:rPr>
            </w:pPr>
          </w:p>
          <w:p>
            <w:pPr>
              <w:pStyle w:val="TableParagraph"/>
              <w:spacing w:line="240" w:lineRule="auto"/>
              <w:ind w:left="466"/>
              <w:rPr>
                <w:rFonts w:ascii="Wingdings" w:hAnsi="Wingdings"/>
                <w:sz w:val="22"/>
              </w:rPr>
            </w:pPr>
            <w:r>
              <w:rPr>
                <w:rFonts w:ascii="Wingdings" w:hAnsi="Wingdings"/>
                <w:w w:val="100"/>
                <w:sz w:val="22"/>
              </w:rPr>
              <w:t></w:t>
            </w:r>
          </w:p>
        </w:tc>
      </w:tr>
      <w:tr>
        <w:trPr>
          <w:trHeight w:val="360" w:hRule="atLeast"/>
        </w:trPr>
        <w:tc>
          <w:tcPr>
            <w:tcW w:w="563" w:type="dxa"/>
          </w:tcPr>
          <w:p>
            <w:pPr>
              <w:pStyle w:val="TableParagraph"/>
              <w:spacing w:line="240" w:lineRule="auto"/>
              <w:rPr>
                <w:rFonts w:ascii="Times New Roman"/>
                <w:sz w:val="22"/>
              </w:rPr>
            </w:pPr>
          </w:p>
        </w:tc>
        <w:tc>
          <w:tcPr>
            <w:tcW w:w="2304" w:type="dxa"/>
          </w:tcPr>
          <w:p>
            <w:pPr>
              <w:pStyle w:val="TableParagraph"/>
              <w:spacing w:line="233" w:lineRule="exact" w:before="116"/>
              <w:ind w:left="206"/>
              <w:rPr>
                <w:sz w:val="22"/>
              </w:rPr>
            </w:pPr>
            <w:r>
              <w:rPr>
                <w:sz w:val="22"/>
              </w:rPr>
              <w:t>1941 – 1960</w:t>
            </w:r>
          </w:p>
        </w:tc>
        <w:tc>
          <w:tcPr>
            <w:tcW w:w="4637" w:type="dxa"/>
          </w:tcPr>
          <w:p>
            <w:pPr>
              <w:pStyle w:val="TableParagraph"/>
              <w:spacing w:line="225" w:lineRule="exact" w:before="124"/>
              <w:ind w:left="63"/>
              <w:rPr>
                <w:rFonts w:ascii="Wingdings" w:hAnsi="Wingdings"/>
                <w:sz w:val="22"/>
              </w:rPr>
            </w:pPr>
            <w:r>
              <w:rPr>
                <w:rFonts w:ascii="Wingdings" w:hAnsi="Wingdings"/>
                <w:w w:val="100"/>
                <w:sz w:val="22"/>
              </w:rPr>
              <w:t></w:t>
            </w:r>
          </w:p>
        </w:tc>
        <w:tc>
          <w:tcPr>
            <w:tcW w:w="714" w:type="dxa"/>
          </w:tcPr>
          <w:p>
            <w:pPr>
              <w:pStyle w:val="TableParagraph"/>
              <w:spacing w:line="240" w:lineRule="auto"/>
              <w:rPr>
                <w:rFonts w:ascii="Times New Roman"/>
                <w:sz w:val="22"/>
              </w:rPr>
            </w:pPr>
          </w:p>
        </w:tc>
      </w:tr>
    </w:tbl>
    <w:p>
      <w:pPr>
        <w:pStyle w:val="BodyText"/>
        <w:rPr>
          <w:sz w:val="20"/>
        </w:rPr>
      </w:pPr>
    </w:p>
    <w:p>
      <w:pPr>
        <w:pStyle w:val="BodyText"/>
        <w:rPr>
          <w:sz w:val="20"/>
        </w:rPr>
      </w:pPr>
    </w:p>
    <w:p>
      <w:pPr>
        <w:pStyle w:val="BodyText"/>
        <w:spacing w:before="8"/>
        <w:rPr>
          <w:sz w:val="23"/>
        </w:rPr>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3"/>
        <w:gridCol w:w="2353"/>
        <w:gridCol w:w="4636"/>
        <w:gridCol w:w="666"/>
      </w:tblGrid>
      <w:tr>
        <w:trPr>
          <w:trHeight w:val="340" w:hRule="atLeast"/>
        </w:trPr>
        <w:tc>
          <w:tcPr>
            <w:tcW w:w="563" w:type="dxa"/>
          </w:tcPr>
          <w:p>
            <w:pPr>
              <w:pStyle w:val="TableParagraph"/>
              <w:spacing w:line="247" w:lineRule="exact"/>
              <w:ind w:left="50"/>
              <w:rPr>
                <w:b/>
                <w:sz w:val="22"/>
              </w:rPr>
            </w:pPr>
            <w:r>
              <w:rPr>
                <w:b/>
                <w:sz w:val="22"/>
              </w:rPr>
              <w:t>4.4</w:t>
            </w:r>
          </w:p>
        </w:tc>
        <w:tc>
          <w:tcPr>
            <w:tcW w:w="2353" w:type="dxa"/>
          </w:tcPr>
          <w:p>
            <w:pPr>
              <w:pStyle w:val="TableParagraph"/>
              <w:spacing w:line="247" w:lineRule="exact"/>
              <w:ind w:left="206"/>
              <w:rPr>
                <w:sz w:val="22"/>
              </w:rPr>
            </w:pPr>
            <w:r>
              <w:rPr>
                <w:sz w:val="22"/>
              </w:rPr>
              <w:t>If the facility has been</w:t>
            </w:r>
          </w:p>
        </w:tc>
        <w:tc>
          <w:tcPr>
            <w:tcW w:w="4636" w:type="dxa"/>
          </w:tcPr>
          <w:p>
            <w:pPr>
              <w:pStyle w:val="TableParagraph"/>
              <w:spacing w:line="247" w:lineRule="exact"/>
              <w:ind w:left="45"/>
              <w:rPr>
                <w:sz w:val="22"/>
              </w:rPr>
            </w:pPr>
            <w:r>
              <w:rPr>
                <w:sz w:val="22"/>
              </w:rPr>
              <w:t>refurbished, when did this happen?</w:t>
            </w:r>
          </w:p>
        </w:tc>
        <w:tc>
          <w:tcPr>
            <w:tcW w:w="666" w:type="dxa"/>
          </w:tcPr>
          <w:p>
            <w:pPr>
              <w:pStyle w:val="TableParagraph"/>
              <w:spacing w:line="240" w:lineRule="auto"/>
              <w:rPr>
                <w:rFonts w:ascii="Times New Roman"/>
                <w:sz w:val="22"/>
              </w:rPr>
            </w:pPr>
          </w:p>
        </w:tc>
      </w:tr>
      <w:tr>
        <w:trPr>
          <w:trHeight w:val="440" w:hRule="atLeast"/>
        </w:trPr>
        <w:tc>
          <w:tcPr>
            <w:tcW w:w="563" w:type="dxa"/>
          </w:tcPr>
          <w:p>
            <w:pPr>
              <w:pStyle w:val="TableParagraph"/>
              <w:spacing w:line="240" w:lineRule="auto"/>
              <w:rPr>
                <w:rFonts w:ascii="Times New Roman"/>
                <w:sz w:val="22"/>
              </w:rPr>
            </w:pPr>
          </w:p>
        </w:tc>
        <w:tc>
          <w:tcPr>
            <w:tcW w:w="2353" w:type="dxa"/>
          </w:tcPr>
          <w:p>
            <w:pPr>
              <w:pStyle w:val="TableParagraph"/>
              <w:spacing w:line="240" w:lineRule="auto" w:before="98"/>
              <w:ind w:left="206"/>
              <w:rPr>
                <w:rFonts w:ascii="Wingdings" w:hAnsi="Wingdings"/>
                <w:sz w:val="22"/>
              </w:rPr>
            </w:pPr>
            <w:r>
              <w:rPr>
                <w:sz w:val="22"/>
              </w:rPr>
              <w:t>Last 20 years</w:t>
            </w:r>
            <w:r>
              <w:rPr>
                <w:spacing w:val="56"/>
                <w:sz w:val="22"/>
              </w:rPr>
              <w:t> </w:t>
            </w:r>
            <w:r>
              <w:rPr>
                <w:rFonts w:ascii="Wingdings" w:hAnsi="Wingdings"/>
                <w:sz w:val="22"/>
              </w:rPr>
              <w:t></w:t>
            </w:r>
          </w:p>
        </w:tc>
        <w:tc>
          <w:tcPr>
            <w:tcW w:w="4636" w:type="dxa"/>
          </w:tcPr>
          <w:p>
            <w:pPr>
              <w:pStyle w:val="TableParagraph"/>
              <w:spacing w:line="240" w:lineRule="auto" w:before="98"/>
              <w:ind w:left="2894"/>
              <w:rPr>
                <w:sz w:val="22"/>
              </w:rPr>
            </w:pPr>
            <w:r>
              <w:rPr>
                <w:sz w:val="22"/>
              </w:rPr>
              <w:t>Last 10 years</w:t>
            </w:r>
          </w:p>
        </w:tc>
        <w:tc>
          <w:tcPr>
            <w:tcW w:w="666" w:type="dxa"/>
          </w:tcPr>
          <w:p>
            <w:pPr>
              <w:pStyle w:val="TableParagraph"/>
              <w:spacing w:line="240" w:lineRule="auto" w:before="107"/>
              <w:ind w:right="48"/>
              <w:jc w:val="right"/>
              <w:rPr>
                <w:rFonts w:ascii="Wingdings" w:hAnsi="Wingdings"/>
                <w:sz w:val="22"/>
              </w:rPr>
            </w:pPr>
            <w:r>
              <w:rPr>
                <w:rFonts w:ascii="Wingdings" w:hAnsi="Wingdings"/>
                <w:w w:val="100"/>
                <w:sz w:val="22"/>
              </w:rPr>
              <w:t></w:t>
            </w:r>
          </w:p>
        </w:tc>
      </w:tr>
      <w:tr>
        <w:trPr>
          <w:trHeight w:val="920" w:hRule="atLeast"/>
        </w:trPr>
        <w:tc>
          <w:tcPr>
            <w:tcW w:w="563" w:type="dxa"/>
          </w:tcPr>
          <w:p>
            <w:pPr>
              <w:pStyle w:val="TableParagraph"/>
              <w:spacing w:line="240" w:lineRule="auto"/>
              <w:rPr>
                <w:sz w:val="24"/>
              </w:rPr>
            </w:pPr>
          </w:p>
          <w:p>
            <w:pPr>
              <w:pStyle w:val="TableParagraph"/>
              <w:spacing w:line="240" w:lineRule="auto" w:before="5"/>
              <w:rPr>
                <w:sz w:val="23"/>
              </w:rPr>
            </w:pPr>
          </w:p>
          <w:p>
            <w:pPr>
              <w:pStyle w:val="TableParagraph"/>
              <w:spacing w:line="240" w:lineRule="auto"/>
              <w:ind w:left="50"/>
              <w:rPr>
                <w:b/>
                <w:sz w:val="22"/>
              </w:rPr>
            </w:pPr>
            <w:r>
              <w:rPr>
                <w:b/>
                <w:sz w:val="22"/>
              </w:rPr>
              <w:t>4.5</w:t>
            </w:r>
          </w:p>
        </w:tc>
        <w:tc>
          <w:tcPr>
            <w:tcW w:w="2353" w:type="dxa"/>
          </w:tcPr>
          <w:p>
            <w:pPr>
              <w:pStyle w:val="TableParagraph"/>
              <w:spacing w:line="240" w:lineRule="auto" w:before="97"/>
              <w:ind w:left="206"/>
              <w:rPr>
                <w:rFonts w:ascii="Wingdings" w:hAnsi="Wingdings"/>
                <w:sz w:val="22"/>
              </w:rPr>
            </w:pPr>
            <w:r>
              <w:rPr>
                <w:sz w:val="22"/>
              </w:rPr>
              <w:t>Last 15 years</w:t>
            </w:r>
            <w:r>
              <w:rPr>
                <w:spacing w:val="56"/>
                <w:sz w:val="22"/>
              </w:rPr>
              <w:t> </w:t>
            </w:r>
            <w:r>
              <w:rPr>
                <w:rFonts w:ascii="Wingdings" w:hAnsi="Wingdings"/>
                <w:sz w:val="22"/>
              </w:rPr>
              <w:t></w:t>
            </w:r>
          </w:p>
          <w:p>
            <w:pPr>
              <w:pStyle w:val="TableParagraph"/>
              <w:spacing w:line="240" w:lineRule="auto" w:before="196"/>
              <w:ind w:left="206"/>
              <w:rPr>
                <w:sz w:val="22"/>
              </w:rPr>
            </w:pPr>
            <w:r>
              <w:rPr>
                <w:sz w:val="22"/>
              </w:rPr>
              <w:t>What would you state</w:t>
            </w:r>
          </w:p>
        </w:tc>
        <w:tc>
          <w:tcPr>
            <w:tcW w:w="4636" w:type="dxa"/>
          </w:tcPr>
          <w:p>
            <w:pPr>
              <w:pStyle w:val="TableParagraph"/>
              <w:spacing w:line="240" w:lineRule="auto" w:before="97"/>
              <w:ind w:left="2894"/>
              <w:rPr>
                <w:sz w:val="22"/>
              </w:rPr>
            </w:pPr>
            <w:r>
              <w:rPr>
                <w:sz w:val="22"/>
              </w:rPr>
              <w:t>Last 5 years</w:t>
            </w:r>
          </w:p>
          <w:p>
            <w:pPr>
              <w:pStyle w:val="TableParagraph"/>
              <w:spacing w:line="240" w:lineRule="auto" w:before="196"/>
              <w:ind w:left="17"/>
              <w:rPr>
                <w:sz w:val="22"/>
              </w:rPr>
            </w:pPr>
            <w:r>
              <w:rPr>
                <w:sz w:val="22"/>
              </w:rPr>
              <w:t>the facility’s condition to be in?</w:t>
            </w:r>
          </w:p>
        </w:tc>
        <w:tc>
          <w:tcPr>
            <w:tcW w:w="666" w:type="dxa"/>
          </w:tcPr>
          <w:p>
            <w:pPr>
              <w:pStyle w:val="TableParagraph"/>
              <w:spacing w:line="240" w:lineRule="auto" w:before="105"/>
              <w:ind w:right="48"/>
              <w:jc w:val="right"/>
              <w:rPr>
                <w:rFonts w:ascii="Wingdings" w:hAnsi="Wingdings"/>
                <w:sz w:val="22"/>
              </w:rPr>
            </w:pPr>
            <w:r>
              <w:rPr>
                <w:rFonts w:ascii="Wingdings" w:hAnsi="Wingdings"/>
                <w:w w:val="100"/>
                <w:sz w:val="22"/>
              </w:rPr>
              <w:t></w:t>
            </w:r>
          </w:p>
        </w:tc>
      </w:tr>
      <w:tr>
        <w:trPr>
          <w:trHeight w:val="480" w:hRule="atLeast"/>
        </w:trPr>
        <w:tc>
          <w:tcPr>
            <w:tcW w:w="563" w:type="dxa"/>
          </w:tcPr>
          <w:p>
            <w:pPr>
              <w:pStyle w:val="TableParagraph"/>
              <w:spacing w:line="240" w:lineRule="auto"/>
              <w:rPr>
                <w:rFonts w:ascii="Times New Roman"/>
                <w:sz w:val="22"/>
              </w:rPr>
            </w:pPr>
          </w:p>
        </w:tc>
        <w:tc>
          <w:tcPr>
            <w:tcW w:w="2353" w:type="dxa"/>
          </w:tcPr>
          <w:p>
            <w:pPr>
              <w:pStyle w:val="TableParagraph"/>
              <w:spacing w:line="240" w:lineRule="auto" w:before="117"/>
              <w:ind w:left="206"/>
              <w:rPr>
                <w:sz w:val="22"/>
              </w:rPr>
            </w:pPr>
            <w:r>
              <w:rPr>
                <w:sz w:val="22"/>
              </w:rPr>
              <w:t>Excellent</w:t>
            </w:r>
          </w:p>
        </w:tc>
        <w:tc>
          <w:tcPr>
            <w:tcW w:w="4636" w:type="dxa"/>
          </w:tcPr>
          <w:p>
            <w:pPr>
              <w:pStyle w:val="TableParagraph"/>
              <w:tabs>
                <w:tab w:pos="1454" w:val="left" w:leader="none"/>
              </w:tabs>
              <w:spacing w:line="240" w:lineRule="auto" w:before="117"/>
              <w:ind w:left="14"/>
              <w:rPr>
                <w:sz w:val="22"/>
              </w:rPr>
            </w:pPr>
            <w:r>
              <w:rPr>
                <w:rFonts w:ascii="Wingdings" w:hAnsi="Wingdings"/>
                <w:sz w:val="22"/>
              </w:rPr>
              <w:t></w:t>
              <w:tab/>
            </w:r>
            <w:r>
              <w:rPr>
                <w:sz w:val="22"/>
              </w:rPr>
              <w:t>In need of</w:t>
            </w:r>
            <w:r>
              <w:rPr>
                <w:spacing w:val="-2"/>
                <w:sz w:val="22"/>
              </w:rPr>
              <w:t> </w:t>
            </w:r>
            <w:r>
              <w:rPr>
                <w:sz w:val="22"/>
              </w:rPr>
              <w:t>repair</w:t>
            </w:r>
          </w:p>
        </w:tc>
        <w:tc>
          <w:tcPr>
            <w:tcW w:w="666" w:type="dxa"/>
          </w:tcPr>
          <w:p>
            <w:pPr>
              <w:pStyle w:val="TableParagraph"/>
              <w:spacing w:line="240" w:lineRule="auto" w:before="126"/>
              <w:ind w:right="48"/>
              <w:jc w:val="right"/>
              <w:rPr>
                <w:rFonts w:ascii="Wingdings" w:hAnsi="Wingdings"/>
                <w:sz w:val="22"/>
              </w:rPr>
            </w:pPr>
            <w:r>
              <w:rPr>
                <w:rFonts w:ascii="Wingdings" w:hAnsi="Wingdings"/>
                <w:w w:val="100"/>
                <w:sz w:val="22"/>
              </w:rPr>
              <w:t></w:t>
            </w:r>
          </w:p>
        </w:tc>
      </w:tr>
      <w:tr>
        <w:trPr>
          <w:trHeight w:val="360" w:hRule="atLeast"/>
        </w:trPr>
        <w:tc>
          <w:tcPr>
            <w:tcW w:w="563" w:type="dxa"/>
          </w:tcPr>
          <w:p>
            <w:pPr>
              <w:pStyle w:val="TableParagraph"/>
              <w:spacing w:line="240" w:lineRule="auto"/>
              <w:rPr>
                <w:rFonts w:ascii="Times New Roman"/>
                <w:sz w:val="22"/>
              </w:rPr>
            </w:pPr>
          </w:p>
        </w:tc>
        <w:tc>
          <w:tcPr>
            <w:tcW w:w="2353" w:type="dxa"/>
          </w:tcPr>
          <w:p>
            <w:pPr>
              <w:pStyle w:val="TableParagraph"/>
              <w:spacing w:line="233" w:lineRule="exact" w:before="115"/>
              <w:ind w:left="206"/>
              <w:rPr>
                <w:sz w:val="22"/>
              </w:rPr>
            </w:pPr>
            <w:r>
              <w:rPr>
                <w:sz w:val="22"/>
              </w:rPr>
              <w:t>Good</w:t>
            </w:r>
          </w:p>
        </w:tc>
        <w:tc>
          <w:tcPr>
            <w:tcW w:w="4636" w:type="dxa"/>
          </w:tcPr>
          <w:p>
            <w:pPr>
              <w:pStyle w:val="TableParagraph"/>
              <w:tabs>
                <w:tab w:pos="1454" w:val="left" w:leader="none"/>
              </w:tabs>
              <w:spacing w:line="233" w:lineRule="exact" w:before="115"/>
              <w:ind w:left="14"/>
              <w:rPr>
                <w:sz w:val="22"/>
              </w:rPr>
            </w:pPr>
            <w:r>
              <w:rPr>
                <w:rFonts w:ascii="Wingdings" w:hAnsi="Wingdings"/>
                <w:sz w:val="22"/>
              </w:rPr>
              <w:t></w:t>
              <w:tab/>
            </w:r>
            <w:r>
              <w:rPr>
                <w:sz w:val="22"/>
              </w:rPr>
              <w:t>In need of significant</w:t>
            </w:r>
            <w:r>
              <w:rPr>
                <w:spacing w:val="-9"/>
                <w:sz w:val="22"/>
              </w:rPr>
              <w:t> </w:t>
            </w:r>
            <w:r>
              <w:rPr>
                <w:sz w:val="22"/>
              </w:rPr>
              <w:t>repair</w:t>
            </w:r>
          </w:p>
        </w:tc>
        <w:tc>
          <w:tcPr>
            <w:tcW w:w="666" w:type="dxa"/>
          </w:tcPr>
          <w:p>
            <w:pPr>
              <w:pStyle w:val="TableParagraph"/>
              <w:spacing w:line="225" w:lineRule="exact" w:before="123"/>
              <w:ind w:right="48"/>
              <w:jc w:val="right"/>
              <w:rPr>
                <w:rFonts w:ascii="Wingdings" w:hAnsi="Wingdings"/>
                <w:sz w:val="22"/>
              </w:rPr>
            </w:pPr>
            <w:r>
              <w:rPr>
                <w:rFonts w:ascii="Wingdings" w:hAnsi="Wingdings"/>
                <w:w w:val="100"/>
                <w:sz w:val="22"/>
              </w:rPr>
              <w:t></w:t>
            </w:r>
          </w:p>
        </w:tc>
      </w:tr>
    </w:tbl>
    <w:p>
      <w:pPr>
        <w:pStyle w:val="BodyText"/>
        <w:rPr>
          <w:sz w:val="20"/>
        </w:rPr>
      </w:pPr>
    </w:p>
    <w:p>
      <w:pPr>
        <w:pStyle w:val="BodyText"/>
        <w:rPr>
          <w:sz w:val="20"/>
        </w:rPr>
      </w:pPr>
    </w:p>
    <w:p>
      <w:pPr>
        <w:pStyle w:val="BodyText"/>
        <w:spacing w:before="4"/>
        <w:rPr>
          <w:sz w:val="23"/>
        </w:rPr>
      </w:pPr>
    </w:p>
    <w:p>
      <w:pPr>
        <w:tabs>
          <w:tab w:pos="857" w:val="left" w:leader="none"/>
        </w:tabs>
        <w:spacing w:before="0"/>
        <w:ind w:left="150" w:right="0" w:firstLine="0"/>
        <w:jc w:val="left"/>
        <w:rPr>
          <w:sz w:val="22"/>
        </w:rPr>
      </w:pPr>
      <w:r>
        <w:rPr>
          <w:b/>
          <w:sz w:val="22"/>
        </w:rPr>
        <w:t>4.6</w:t>
        <w:tab/>
      </w:r>
      <w:r>
        <w:rPr>
          <w:sz w:val="22"/>
        </w:rPr>
        <w:t>Have you any plans to develop the facility in the near</w:t>
      </w:r>
      <w:r>
        <w:rPr>
          <w:spacing w:val="-18"/>
          <w:sz w:val="22"/>
        </w:rPr>
        <w:t> </w:t>
      </w:r>
      <w:r>
        <w:rPr>
          <w:sz w:val="22"/>
        </w:rPr>
        <w:t>future?</w:t>
      </w:r>
    </w:p>
    <w:p>
      <w:pPr>
        <w:pStyle w:val="BodyText"/>
        <w:spacing w:before="9"/>
        <w:rPr>
          <w:sz w:val="20"/>
        </w:rPr>
      </w:pPr>
    </w:p>
    <w:p>
      <w:pPr>
        <w:tabs>
          <w:tab w:pos="720" w:val="left" w:leader="none"/>
          <w:tab w:pos="1440" w:val="left" w:leader="none"/>
          <w:tab w:pos="2160" w:val="left" w:leader="none"/>
        </w:tabs>
        <w:spacing w:before="0"/>
        <w:ind w:left="0" w:right="536" w:firstLine="0"/>
        <w:jc w:val="right"/>
        <w:rPr>
          <w:rFonts w:ascii="Wingdings" w:hAnsi="Wingdings"/>
          <w:sz w:val="22"/>
        </w:rPr>
      </w:pPr>
      <w:r>
        <w:rPr>
          <w:sz w:val="22"/>
        </w:rPr>
        <w:t>Yes</w:t>
        <w:tab/>
      </w:r>
      <w:r>
        <w:rPr>
          <w:rFonts w:ascii="Wingdings" w:hAnsi="Wingdings"/>
          <w:sz w:val="22"/>
        </w:rPr>
        <w:t></w:t>
        <w:tab/>
      </w:r>
      <w:r>
        <w:rPr>
          <w:sz w:val="22"/>
        </w:rPr>
        <w:t>No</w:t>
        <w:tab/>
      </w:r>
      <w:r>
        <w:rPr>
          <w:rFonts w:ascii="Wingdings" w:hAnsi="Wingdings"/>
          <w:sz w:val="22"/>
        </w:rPr>
        <w:t></w:t>
      </w:r>
    </w:p>
    <w:p>
      <w:pPr>
        <w:pStyle w:val="BodyText"/>
        <w:spacing w:before="3"/>
        <w:rPr>
          <w:rFonts w:ascii="Wingdings"/>
          <w:sz w:val="21"/>
        </w:rPr>
      </w:pPr>
    </w:p>
    <w:p>
      <w:pPr>
        <w:tabs>
          <w:tab w:pos="3126" w:val="left" w:leader="none"/>
          <w:tab w:pos="5910" w:val="left" w:leader="none"/>
        </w:tabs>
        <w:spacing w:line="465" w:lineRule="auto" w:before="0"/>
        <w:ind w:left="858" w:right="1705" w:firstLine="0"/>
        <w:jc w:val="left"/>
        <w:rPr>
          <w:rFonts w:ascii="Wingdings" w:hAnsi="Wingdings"/>
          <w:sz w:val="22"/>
        </w:rPr>
      </w:pPr>
      <w:r>
        <w:rPr>
          <w:sz w:val="22"/>
        </w:rPr>
        <w:t>If </w:t>
      </w:r>
      <w:r>
        <w:rPr>
          <w:b/>
          <w:sz w:val="22"/>
        </w:rPr>
        <w:t>Yes, </w:t>
      </w:r>
      <w:r>
        <w:rPr>
          <w:sz w:val="22"/>
        </w:rPr>
        <w:t>please indicate the nature of the works to be undertaken. Refurbish</w:t>
        <w:tab/>
      </w:r>
      <w:r>
        <w:rPr>
          <w:rFonts w:ascii="Wingdings" w:hAnsi="Wingdings"/>
          <w:sz w:val="22"/>
        </w:rPr>
        <w:t></w:t>
        <w:tab/>
      </w:r>
      <w:r>
        <w:rPr>
          <w:sz w:val="22"/>
        </w:rPr>
        <w:t>Extend</w:t>
      </w:r>
      <w:r>
        <w:rPr>
          <w:spacing w:val="-27"/>
          <w:sz w:val="22"/>
        </w:rPr>
        <w:t> </w:t>
      </w:r>
      <w:r>
        <w:rPr>
          <w:rFonts w:ascii="Wingdings" w:hAnsi="Wingdings"/>
          <w:sz w:val="22"/>
        </w:rPr>
        <w:t></w:t>
      </w:r>
    </w:p>
    <w:p>
      <w:pPr>
        <w:spacing w:after="0" w:line="465" w:lineRule="auto"/>
        <w:jc w:val="left"/>
        <w:rPr>
          <w:rFonts w:ascii="Wingdings" w:hAnsi="Wingdings"/>
          <w:sz w:val="22"/>
        </w:rPr>
        <w:sectPr>
          <w:headerReference w:type="default" r:id="rId56"/>
          <w:footerReference w:type="default" r:id="rId57"/>
          <w:pgSz w:w="11910" w:h="17340"/>
          <w:pgMar w:header="759" w:footer="0" w:top="940" w:bottom="280" w:left="1420" w:right="1680"/>
        </w:sectPr>
      </w:pPr>
    </w:p>
    <w:p>
      <w:pPr>
        <w:pStyle w:val="BodyText"/>
        <w:rPr>
          <w:rFonts w:ascii="Wingdings"/>
          <w:sz w:val="16"/>
        </w:rPr>
      </w:pPr>
    </w:p>
    <w:p>
      <w:pPr>
        <w:tabs>
          <w:tab w:pos="7756" w:val="left" w:leader="none"/>
        </w:tabs>
        <w:spacing w:line="465" w:lineRule="auto" w:before="94"/>
        <w:ind w:left="858" w:right="1332" w:firstLine="0"/>
        <w:jc w:val="left"/>
        <w:rPr>
          <w:sz w:val="22"/>
        </w:rPr>
      </w:pPr>
      <w:r>
        <w:rPr>
          <w:sz w:val="22"/>
        </w:rPr>
        <w:t>Other,</w:t>
      </w:r>
      <w:r>
        <w:rPr>
          <w:spacing w:val="-5"/>
          <w:sz w:val="22"/>
        </w:rPr>
        <w:t> </w:t>
      </w:r>
      <w:r>
        <w:rPr>
          <w:sz w:val="22"/>
        </w:rPr>
        <w:t>please</w:t>
      </w:r>
      <w:r>
        <w:rPr>
          <w:spacing w:val="-4"/>
          <w:sz w:val="22"/>
        </w:rPr>
        <w:t> </w:t>
      </w:r>
      <w:r>
        <w:rPr>
          <w:sz w:val="22"/>
        </w:rPr>
        <w:t>specify:</w:t>
      </w:r>
      <w:r>
        <w:rPr>
          <w:spacing w:val="2"/>
          <w:sz w:val="22"/>
        </w:rPr>
        <w:t> </w:t>
      </w:r>
      <w:r>
        <w:rPr>
          <w:w w:val="100"/>
          <w:sz w:val="22"/>
          <w:u w:val="single"/>
        </w:rPr>
        <w:t> </w:t>
      </w:r>
      <w:r>
        <w:rPr>
          <w:sz w:val="22"/>
          <w:u w:val="single"/>
        </w:rPr>
        <w:tab/>
      </w:r>
      <w:r>
        <w:rPr>
          <w:sz w:val="22"/>
        </w:rPr>
        <w:t> Have you an estimated budget for the</w:t>
      </w:r>
      <w:r>
        <w:rPr>
          <w:spacing w:val="-9"/>
          <w:sz w:val="22"/>
        </w:rPr>
        <w:t> </w:t>
      </w:r>
      <w:r>
        <w:rPr>
          <w:sz w:val="22"/>
        </w:rPr>
        <w:t>works?</w:t>
      </w:r>
      <w:r>
        <w:rPr>
          <w:w w:val="100"/>
          <w:sz w:val="22"/>
          <w:u w:val="single"/>
        </w:rPr>
        <w:t> </w:t>
      </w:r>
      <w:r>
        <w:rPr>
          <w:sz w:val="22"/>
          <w:u w:val="single"/>
        </w:rPr>
        <w:tab/>
      </w:r>
      <w:r>
        <w:rPr>
          <w:w w:val="29"/>
          <w:sz w:val="22"/>
          <w:u w:val="single"/>
        </w:rPr>
        <w:t> </w:t>
      </w:r>
    </w:p>
    <w:p>
      <w:pPr>
        <w:pStyle w:val="BodyText"/>
        <w:rPr>
          <w:sz w:val="20"/>
        </w:rPr>
      </w:pPr>
    </w:p>
    <w:p>
      <w:pPr>
        <w:pStyle w:val="BodyText"/>
      </w:pPr>
    </w:p>
    <w:p>
      <w:pPr>
        <w:pStyle w:val="Heading2"/>
      </w:pPr>
      <w:r>
        <w:rPr/>
        <w:t>SECTION 5: Facility Users</w:t>
      </w:r>
    </w:p>
    <w:p>
      <w:pPr>
        <w:pStyle w:val="BodyText"/>
        <w:spacing w:before="4"/>
        <w:rPr>
          <w:b/>
          <w:sz w:val="39"/>
        </w:rPr>
      </w:pPr>
    </w:p>
    <w:p>
      <w:pPr>
        <w:tabs>
          <w:tab w:pos="869" w:val="left" w:leader="none"/>
          <w:tab w:pos="5190" w:val="left" w:leader="none"/>
        </w:tabs>
        <w:spacing w:line="465" w:lineRule="auto" w:before="0"/>
        <w:ind w:left="870" w:right="1380" w:hanging="720"/>
        <w:jc w:val="left"/>
        <w:rPr>
          <w:rFonts w:ascii="Wingdings" w:hAnsi="Wingdings"/>
          <w:sz w:val="22"/>
        </w:rPr>
      </w:pPr>
      <w:r>
        <w:rPr>
          <w:b/>
          <w:sz w:val="22"/>
        </w:rPr>
        <w:t>5.1</w:t>
        <w:tab/>
      </w:r>
      <w:r>
        <w:rPr>
          <w:sz w:val="22"/>
        </w:rPr>
        <w:t>Please indicate which target group your facility is </w:t>
      </w:r>
      <w:r>
        <w:rPr>
          <w:sz w:val="22"/>
          <w:u w:val="single"/>
        </w:rPr>
        <w:t>primarily</w:t>
      </w:r>
      <w:r>
        <w:rPr>
          <w:spacing w:val="-18"/>
          <w:sz w:val="22"/>
        </w:rPr>
        <w:t> </w:t>
      </w:r>
      <w:r>
        <w:rPr>
          <w:sz w:val="22"/>
        </w:rPr>
        <w:t>available</w:t>
      </w:r>
      <w:r>
        <w:rPr>
          <w:spacing w:val="-2"/>
          <w:sz w:val="22"/>
        </w:rPr>
        <w:t> </w:t>
      </w:r>
      <w:r>
        <w:rPr>
          <w:sz w:val="22"/>
        </w:rPr>
        <w:t>to:</w:t>
      </w:r>
      <w:r>
        <w:rPr>
          <w:w w:val="100"/>
          <w:sz w:val="22"/>
        </w:rPr>
        <w:t> </w:t>
      </w:r>
      <w:r>
        <w:rPr>
          <w:sz w:val="22"/>
        </w:rPr>
        <w:t>General</w:t>
      </w:r>
      <w:r>
        <w:rPr>
          <w:spacing w:val="-2"/>
          <w:sz w:val="22"/>
        </w:rPr>
        <w:t> </w:t>
      </w:r>
      <w:r>
        <w:rPr>
          <w:sz w:val="22"/>
        </w:rPr>
        <w:t>Community</w:t>
        <w:tab/>
      </w:r>
      <w:r>
        <w:rPr>
          <w:rFonts w:ascii="Wingdings" w:hAnsi="Wingdings"/>
          <w:sz w:val="22"/>
        </w:rPr>
        <w:t></w:t>
      </w:r>
    </w:p>
    <w:p>
      <w:pPr>
        <w:tabs>
          <w:tab w:pos="5190" w:val="left" w:leader="none"/>
        </w:tabs>
        <w:spacing w:before="8"/>
        <w:ind w:left="870" w:right="0" w:firstLine="0"/>
        <w:jc w:val="left"/>
        <w:rPr>
          <w:rFonts w:ascii="Wingdings" w:hAnsi="Wingdings"/>
          <w:sz w:val="22"/>
        </w:rPr>
      </w:pPr>
      <w:r>
        <w:rPr>
          <w:sz w:val="22"/>
        </w:rPr>
        <w:t>Young</w:t>
      </w:r>
      <w:r>
        <w:rPr>
          <w:spacing w:val="0"/>
          <w:sz w:val="22"/>
        </w:rPr>
        <w:t> </w:t>
      </w:r>
      <w:r>
        <w:rPr>
          <w:sz w:val="22"/>
        </w:rPr>
        <w:t>People</w:t>
        <w:tab/>
      </w:r>
      <w:r>
        <w:rPr>
          <w:rFonts w:ascii="Wingdings" w:hAnsi="Wingdings"/>
          <w:sz w:val="22"/>
        </w:rPr>
        <w:t></w:t>
      </w:r>
    </w:p>
    <w:p>
      <w:pPr>
        <w:pStyle w:val="BodyText"/>
        <w:spacing w:before="5"/>
        <w:rPr>
          <w:rFonts w:ascii="Wingdings"/>
          <w:sz w:val="21"/>
        </w:rPr>
      </w:pPr>
    </w:p>
    <w:p>
      <w:pPr>
        <w:tabs>
          <w:tab w:pos="5190" w:val="left" w:leader="none"/>
        </w:tabs>
        <w:spacing w:before="0"/>
        <w:ind w:left="870" w:right="0" w:firstLine="0"/>
        <w:jc w:val="left"/>
        <w:rPr>
          <w:rFonts w:ascii="Wingdings" w:hAnsi="Wingdings"/>
          <w:sz w:val="22"/>
        </w:rPr>
      </w:pPr>
      <w:r>
        <w:rPr>
          <w:sz w:val="22"/>
        </w:rPr>
        <w:t>Older People</w:t>
        <w:tab/>
      </w:r>
      <w:r>
        <w:rPr>
          <w:rFonts w:ascii="Wingdings" w:hAnsi="Wingdings"/>
          <w:sz w:val="22"/>
        </w:rPr>
        <w:t></w:t>
      </w:r>
    </w:p>
    <w:p>
      <w:pPr>
        <w:pStyle w:val="BodyText"/>
        <w:spacing w:before="3"/>
        <w:rPr>
          <w:rFonts w:ascii="Wingdings"/>
          <w:sz w:val="21"/>
        </w:rPr>
      </w:pPr>
    </w:p>
    <w:p>
      <w:pPr>
        <w:tabs>
          <w:tab w:pos="5190" w:val="left" w:leader="none"/>
        </w:tabs>
        <w:spacing w:before="0"/>
        <w:ind w:left="870" w:right="0" w:firstLine="0"/>
        <w:jc w:val="left"/>
        <w:rPr>
          <w:rFonts w:ascii="Wingdings" w:hAnsi="Wingdings"/>
          <w:sz w:val="22"/>
        </w:rPr>
      </w:pPr>
      <w:r>
        <w:rPr/>
        <w:pict>
          <v:shape style="position:absolute;margin-left:76.003998pt;margin-top:24.923677pt;width:426.35pt;height:247.8pt;mso-position-horizontal-relative:page;mso-position-vertical-relative:paragraph;z-index:46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3"/>
                    <w:gridCol w:w="5077"/>
                    <w:gridCol w:w="720"/>
                    <w:gridCol w:w="671"/>
                    <w:gridCol w:w="819"/>
                    <w:gridCol w:w="676"/>
                  </w:tblGrid>
                  <w:tr>
                    <w:trPr>
                      <w:trHeight w:val="1820" w:hRule="atLeast"/>
                    </w:trPr>
                    <w:tc>
                      <w:tcPr>
                        <w:tcW w:w="563" w:type="dxa"/>
                      </w:tcPr>
                      <w:p>
                        <w:pPr>
                          <w:pStyle w:val="TableParagraph"/>
                          <w:spacing w:line="240" w:lineRule="auto"/>
                          <w:rPr>
                            <w:rFonts w:ascii="Wingdings"/>
                            <w:sz w:val="24"/>
                          </w:rPr>
                        </w:pPr>
                      </w:p>
                      <w:p>
                        <w:pPr>
                          <w:pStyle w:val="TableParagraph"/>
                          <w:spacing w:line="240" w:lineRule="auto"/>
                          <w:rPr>
                            <w:rFonts w:ascii="Wingdings"/>
                            <w:sz w:val="24"/>
                          </w:rPr>
                        </w:pPr>
                      </w:p>
                      <w:p>
                        <w:pPr>
                          <w:pStyle w:val="TableParagraph"/>
                          <w:spacing w:line="240" w:lineRule="auto"/>
                          <w:rPr>
                            <w:rFonts w:ascii="Wingdings"/>
                            <w:sz w:val="24"/>
                          </w:rPr>
                        </w:pPr>
                      </w:p>
                      <w:p>
                        <w:pPr>
                          <w:pStyle w:val="TableParagraph"/>
                          <w:spacing w:line="240" w:lineRule="auto" w:before="173"/>
                          <w:ind w:left="50"/>
                          <w:rPr>
                            <w:b/>
                            <w:sz w:val="22"/>
                          </w:rPr>
                        </w:pPr>
                        <w:r>
                          <w:rPr>
                            <w:b/>
                            <w:sz w:val="22"/>
                          </w:rPr>
                          <w:t>5.2</w:t>
                        </w:r>
                      </w:p>
                      <w:p>
                        <w:pPr>
                          <w:pStyle w:val="TableParagraph"/>
                          <w:spacing w:line="240" w:lineRule="auto" w:before="2"/>
                          <w:rPr>
                            <w:rFonts w:ascii="Wingdings"/>
                            <w:sz w:val="21"/>
                          </w:rPr>
                        </w:pPr>
                      </w:p>
                      <w:p>
                        <w:pPr>
                          <w:pStyle w:val="TableParagraph"/>
                          <w:spacing w:line="240" w:lineRule="auto" w:before="1"/>
                          <w:ind w:left="50"/>
                          <w:rPr>
                            <w:b/>
                            <w:sz w:val="22"/>
                          </w:rPr>
                        </w:pPr>
                        <w:r>
                          <w:rPr>
                            <w:b/>
                            <w:sz w:val="22"/>
                          </w:rPr>
                          <w:t>(a)</w:t>
                        </w:r>
                      </w:p>
                    </w:tc>
                    <w:tc>
                      <w:tcPr>
                        <w:tcW w:w="7287" w:type="dxa"/>
                        <w:gridSpan w:val="4"/>
                      </w:tcPr>
                      <w:p>
                        <w:pPr>
                          <w:pStyle w:val="TableParagraph"/>
                          <w:tabs>
                            <w:tab w:pos="7165" w:val="left" w:leader="none"/>
                          </w:tabs>
                          <w:spacing w:line="247" w:lineRule="exact"/>
                          <w:ind w:left="206"/>
                          <w:rPr>
                            <w:sz w:val="22"/>
                          </w:rPr>
                        </w:pPr>
                        <w:r>
                          <w:rPr>
                            <w:sz w:val="22"/>
                          </w:rPr>
                          <w:t>Other, please</w:t>
                        </w:r>
                        <w:r>
                          <w:rPr>
                            <w:spacing w:val="-8"/>
                            <w:sz w:val="22"/>
                          </w:rPr>
                          <w:t> </w:t>
                        </w:r>
                        <w:r>
                          <w:rPr>
                            <w:sz w:val="22"/>
                          </w:rPr>
                          <w:t>specify:</w:t>
                        </w:r>
                        <w:r>
                          <w:rPr>
                            <w:sz w:val="22"/>
                            <w:u w:val="single"/>
                          </w:rPr>
                          <w:t> </w:t>
                          <w:tab/>
                        </w:r>
                      </w:p>
                      <w:p>
                        <w:pPr>
                          <w:pStyle w:val="TableParagraph"/>
                          <w:spacing w:line="240" w:lineRule="auto"/>
                          <w:rPr>
                            <w:rFonts w:ascii="Wingdings"/>
                            <w:sz w:val="24"/>
                          </w:rPr>
                        </w:pPr>
                      </w:p>
                      <w:p>
                        <w:pPr>
                          <w:pStyle w:val="TableParagraph"/>
                          <w:spacing w:line="240" w:lineRule="auto"/>
                          <w:rPr>
                            <w:rFonts w:ascii="Wingdings"/>
                            <w:sz w:val="24"/>
                          </w:rPr>
                        </w:pPr>
                      </w:p>
                      <w:p>
                        <w:pPr>
                          <w:pStyle w:val="TableParagraph"/>
                          <w:spacing w:line="240" w:lineRule="auto" w:before="193"/>
                          <w:ind w:left="206"/>
                          <w:rPr>
                            <w:b/>
                            <w:sz w:val="22"/>
                          </w:rPr>
                        </w:pPr>
                        <w:r>
                          <w:rPr>
                            <w:b/>
                            <w:sz w:val="22"/>
                          </w:rPr>
                          <w:t>Diversity/Equality</w:t>
                        </w:r>
                      </w:p>
                      <w:p>
                        <w:pPr>
                          <w:pStyle w:val="TableParagraph"/>
                          <w:spacing w:line="240" w:lineRule="auto" w:before="3"/>
                          <w:rPr>
                            <w:rFonts w:ascii="Wingdings"/>
                            <w:sz w:val="21"/>
                          </w:rPr>
                        </w:pPr>
                      </w:p>
                      <w:p>
                        <w:pPr>
                          <w:pStyle w:val="TableParagraph"/>
                          <w:spacing w:line="240" w:lineRule="auto"/>
                          <w:ind w:left="206"/>
                          <w:rPr>
                            <w:sz w:val="22"/>
                          </w:rPr>
                        </w:pPr>
                        <w:r>
                          <w:rPr>
                            <w:sz w:val="22"/>
                          </w:rPr>
                          <w:t>Do you monitor the diversity of people using the facility?</w:t>
                        </w:r>
                      </w:p>
                    </w:tc>
                    <w:tc>
                      <w:tcPr>
                        <w:tcW w:w="676" w:type="dxa"/>
                      </w:tcPr>
                      <w:p>
                        <w:pPr>
                          <w:pStyle w:val="TableParagraph"/>
                          <w:spacing w:line="240" w:lineRule="auto"/>
                          <w:rPr>
                            <w:rFonts w:ascii="Times New Roman"/>
                            <w:sz w:val="22"/>
                          </w:rPr>
                        </w:pPr>
                      </w:p>
                    </w:tc>
                  </w:tr>
                  <w:tr>
                    <w:trPr>
                      <w:trHeight w:val="980" w:hRule="atLeast"/>
                    </w:trPr>
                    <w:tc>
                      <w:tcPr>
                        <w:tcW w:w="563" w:type="dxa"/>
                      </w:tcPr>
                      <w:p>
                        <w:pPr>
                          <w:pStyle w:val="TableParagraph"/>
                          <w:spacing w:line="240" w:lineRule="auto"/>
                          <w:rPr>
                            <w:rFonts w:ascii="Wingdings"/>
                            <w:sz w:val="24"/>
                          </w:rPr>
                        </w:pPr>
                      </w:p>
                      <w:p>
                        <w:pPr>
                          <w:pStyle w:val="TableParagraph"/>
                          <w:spacing w:line="240" w:lineRule="auto" w:before="5"/>
                          <w:rPr>
                            <w:rFonts w:ascii="Wingdings"/>
                            <w:sz w:val="30"/>
                          </w:rPr>
                        </w:pPr>
                      </w:p>
                      <w:p>
                        <w:pPr>
                          <w:pStyle w:val="TableParagraph"/>
                          <w:spacing w:line="240" w:lineRule="auto"/>
                          <w:ind w:left="50"/>
                          <w:rPr>
                            <w:b/>
                            <w:sz w:val="22"/>
                          </w:rPr>
                        </w:pPr>
                        <w:r>
                          <w:rPr>
                            <w:b/>
                            <w:sz w:val="22"/>
                          </w:rPr>
                          <w:t>(b)</w:t>
                        </w:r>
                      </w:p>
                    </w:tc>
                    <w:tc>
                      <w:tcPr>
                        <w:tcW w:w="7287" w:type="dxa"/>
                        <w:gridSpan w:val="4"/>
                      </w:tcPr>
                      <w:p>
                        <w:pPr>
                          <w:pStyle w:val="TableParagraph"/>
                          <w:tabs>
                            <w:tab w:pos="5968" w:val="left" w:leader="none"/>
                            <w:tab w:pos="6688" w:val="left" w:leader="none"/>
                          </w:tabs>
                          <w:spacing w:line="240" w:lineRule="auto" w:before="117"/>
                          <w:ind w:left="5247"/>
                          <w:rPr>
                            <w:sz w:val="22"/>
                          </w:rPr>
                        </w:pPr>
                        <w:r>
                          <w:rPr>
                            <w:sz w:val="22"/>
                          </w:rPr>
                          <w:t>Yes</w:t>
                          <w:tab/>
                        </w:r>
                        <w:r>
                          <w:rPr>
                            <w:rFonts w:ascii="Wingdings" w:hAnsi="Wingdings"/>
                            <w:sz w:val="22"/>
                          </w:rPr>
                          <w:t></w:t>
                          <w:tab/>
                        </w:r>
                        <w:r>
                          <w:rPr>
                            <w:sz w:val="22"/>
                          </w:rPr>
                          <w:t>No</w:t>
                        </w:r>
                      </w:p>
                      <w:p>
                        <w:pPr>
                          <w:pStyle w:val="TableParagraph"/>
                          <w:spacing w:line="240" w:lineRule="auto"/>
                          <w:rPr>
                            <w:rFonts w:ascii="Wingdings"/>
                            <w:sz w:val="21"/>
                          </w:rPr>
                        </w:pPr>
                      </w:p>
                      <w:p>
                        <w:pPr>
                          <w:pStyle w:val="TableParagraph"/>
                          <w:spacing w:line="240" w:lineRule="auto"/>
                          <w:ind w:left="206"/>
                          <w:rPr>
                            <w:sz w:val="22"/>
                          </w:rPr>
                        </w:pPr>
                        <w:r>
                          <w:rPr>
                            <w:sz w:val="22"/>
                          </w:rPr>
                          <w:t>Do you have an equal usage policy displayed in the facility?</w:t>
                        </w:r>
                      </w:p>
                    </w:tc>
                    <w:tc>
                      <w:tcPr>
                        <w:tcW w:w="676" w:type="dxa"/>
                      </w:tcPr>
                      <w:p>
                        <w:pPr>
                          <w:pStyle w:val="TableParagraph"/>
                          <w:spacing w:line="240" w:lineRule="auto" w:before="126"/>
                          <w:ind w:left="121"/>
                          <w:rPr>
                            <w:rFonts w:ascii="Wingdings" w:hAnsi="Wingdings"/>
                            <w:sz w:val="22"/>
                          </w:rPr>
                        </w:pPr>
                        <w:r>
                          <w:rPr>
                            <w:rFonts w:ascii="Wingdings" w:hAnsi="Wingdings"/>
                            <w:w w:val="100"/>
                            <w:sz w:val="22"/>
                          </w:rPr>
                          <w:t></w:t>
                        </w:r>
                      </w:p>
                    </w:tc>
                  </w:tr>
                  <w:tr>
                    <w:trPr>
                      <w:trHeight w:val="620" w:hRule="atLeast"/>
                    </w:trPr>
                    <w:tc>
                      <w:tcPr>
                        <w:tcW w:w="563" w:type="dxa"/>
                      </w:tcPr>
                      <w:p>
                        <w:pPr>
                          <w:pStyle w:val="TableParagraph"/>
                          <w:spacing w:line="240" w:lineRule="auto"/>
                          <w:rPr>
                            <w:rFonts w:ascii="Times New Roman"/>
                            <w:sz w:val="22"/>
                          </w:rPr>
                        </w:pPr>
                      </w:p>
                    </w:tc>
                    <w:tc>
                      <w:tcPr>
                        <w:tcW w:w="7287" w:type="dxa"/>
                        <w:gridSpan w:val="4"/>
                      </w:tcPr>
                      <w:p>
                        <w:pPr>
                          <w:pStyle w:val="TableParagraph"/>
                          <w:tabs>
                            <w:tab w:pos="720" w:val="left" w:leader="none"/>
                            <w:tab w:pos="1440" w:val="left" w:leader="none"/>
                          </w:tabs>
                          <w:spacing w:line="240" w:lineRule="auto" w:before="117"/>
                          <w:ind w:right="316"/>
                          <w:jc w:val="right"/>
                          <w:rPr>
                            <w:sz w:val="22"/>
                          </w:rPr>
                        </w:pPr>
                        <w:r>
                          <w:rPr>
                            <w:sz w:val="22"/>
                          </w:rPr>
                          <w:t>Yes</w:t>
                          <w:tab/>
                        </w:r>
                        <w:r>
                          <w:rPr>
                            <w:rFonts w:ascii="Wingdings" w:hAnsi="Wingdings"/>
                            <w:sz w:val="22"/>
                          </w:rPr>
                          <w:t></w:t>
                          <w:tab/>
                        </w:r>
                        <w:r>
                          <w:rPr>
                            <w:spacing w:val="-3"/>
                            <w:sz w:val="22"/>
                          </w:rPr>
                          <w:t>No</w:t>
                        </w:r>
                      </w:p>
                    </w:tc>
                    <w:tc>
                      <w:tcPr>
                        <w:tcW w:w="676" w:type="dxa"/>
                      </w:tcPr>
                      <w:p>
                        <w:pPr>
                          <w:pStyle w:val="TableParagraph"/>
                          <w:spacing w:line="240" w:lineRule="auto" w:before="126"/>
                          <w:ind w:left="121"/>
                          <w:rPr>
                            <w:rFonts w:ascii="Wingdings" w:hAnsi="Wingdings"/>
                            <w:sz w:val="22"/>
                          </w:rPr>
                        </w:pPr>
                        <w:r>
                          <w:rPr>
                            <w:rFonts w:ascii="Wingdings" w:hAnsi="Wingdings"/>
                            <w:w w:val="100"/>
                            <w:sz w:val="22"/>
                          </w:rPr>
                          <w:t></w:t>
                        </w:r>
                      </w:p>
                    </w:tc>
                  </w:tr>
                  <w:tr>
                    <w:trPr>
                      <w:trHeight w:val="880" w:hRule="atLeast"/>
                    </w:trPr>
                    <w:tc>
                      <w:tcPr>
                        <w:tcW w:w="7032" w:type="dxa"/>
                        <w:gridSpan w:val="4"/>
                      </w:tcPr>
                      <w:p>
                        <w:pPr>
                          <w:pStyle w:val="TableParagraph"/>
                          <w:tabs>
                            <w:tab w:pos="769" w:val="left" w:leader="none"/>
                          </w:tabs>
                          <w:spacing w:line="222" w:lineRule="exact"/>
                          <w:ind w:left="50"/>
                          <w:rPr>
                            <w:sz w:val="22"/>
                          </w:rPr>
                        </w:pPr>
                        <w:r>
                          <w:rPr>
                            <w:b/>
                            <w:sz w:val="22"/>
                          </w:rPr>
                          <w:t>(c)</w:t>
                        </w:r>
                        <w:r>
                          <w:rPr>
                            <w:sz w:val="22"/>
                          </w:rPr>
                          <w:t>.</w:t>
                          <w:tab/>
                          <w:t>Do you offer special discounts for disadvantaged groups or low</w:t>
                        </w:r>
                        <w:r>
                          <w:rPr>
                            <w:spacing w:val="-17"/>
                            <w:sz w:val="22"/>
                          </w:rPr>
                          <w:t> </w:t>
                        </w:r>
                        <w:r>
                          <w:rPr>
                            <w:sz w:val="22"/>
                          </w:rPr>
                          <w:t>i</w:t>
                        </w:r>
                      </w:p>
                      <w:p>
                        <w:pPr>
                          <w:pStyle w:val="TableParagraph"/>
                          <w:tabs>
                            <w:tab w:pos="720" w:val="left" w:leader="none"/>
                          </w:tabs>
                          <w:spacing w:line="240" w:lineRule="auto" w:before="40"/>
                          <w:ind w:right="301"/>
                          <w:jc w:val="right"/>
                          <w:rPr>
                            <w:rFonts w:ascii="Wingdings" w:hAnsi="Wingdings"/>
                            <w:sz w:val="22"/>
                          </w:rPr>
                        </w:pPr>
                        <w:r>
                          <w:rPr>
                            <w:sz w:val="22"/>
                          </w:rPr>
                          <w:t>Yes</w:t>
                          <w:tab/>
                        </w:r>
                        <w:r>
                          <w:rPr>
                            <w:rFonts w:ascii="Wingdings" w:hAnsi="Wingdings"/>
                            <w:sz w:val="22"/>
                          </w:rPr>
                          <w:t></w:t>
                        </w:r>
                      </w:p>
                    </w:tc>
                    <w:tc>
                      <w:tcPr>
                        <w:tcW w:w="819" w:type="dxa"/>
                      </w:tcPr>
                      <w:p>
                        <w:pPr>
                          <w:pStyle w:val="TableParagraph"/>
                          <w:spacing w:line="222" w:lineRule="exact"/>
                          <w:ind w:left="-25" w:right="-4"/>
                          <w:jc w:val="center"/>
                          <w:rPr>
                            <w:sz w:val="22"/>
                          </w:rPr>
                        </w:pPr>
                        <w:r>
                          <w:rPr>
                            <w:sz w:val="22"/>
                          </w:rPr>
                          <w:t>ncome</w:t>
                        </w:r>
                        <w:r>
                          <w:rPr>
                            <w:spacing w:val="0"/>
                            <w:sz w:val="22"/>
                          </w:rPr>
                          <w:t> </w:t>
                        </w:r>
                        <w:r>
                          <w:rPr>
                            <w:sz w:val="22"/>
                          </w:rPr>
                          <w:t>g</w:t>
                        </w:r>
                      </w:p>
                      <w:p>
                        <w:pPr>
                          <w:pStyle w:val="TableParagraph"/>
                          <w:spacing w:line="240" w:lineRule="auto" w:before="40"/>
                          <w:ind w:left="200" w:right="296"/>
                          <w:jc w:val="center"/>
                          <w:rPr>
                            <w:sz w:val="22"/>
                          </w:rPr>
                        </w:pPr>
                        <w:r>
                          <w:rPr>
                            <w:sz w:val="22"/>
                          </w:rPr>
                          <w:t>No</w:t>
                        </w:r>
                      </w:p>
                    </w:tc>
                    <w:tc>
                      <w:tcPr>
                        <w:tcW w:w="676" w:type="dxa"/>
                      </w:tcPr>
                      <w:p>
                        <w:pPr>
                          <w:pStyle w:val="TableParagraph"/>
                          <w:spacing w:line="222" w:lineRule="exact"/>
                          <w:ind w:left="3"/>
                          <w:rPr>
                            <w:sz w:val="22"/>
                          </w:rPr>
                        </w:pPr>
                        <w:r>
                          <w:rPr>
                            <w:sz w:val="22"/>
                          </w:rPr>
                          <w:t>roups?</w:t>
                        </w:r>
                      </w:p>
                      <w:p>
                        <w:pPr>
                          <w:pStyle w:val="TableParagraph"/>
                          <w:spacing w:line="240" w:lineRule="auto" w:before="48"/>
                          <w:ind w:left="121"/>
                          <w:rPr>
                            <w:rFonts w:ascii="Wingdings" w:hAnsi="Wingdings"/>
                            <w:sz w:val="22"/>
                          </w:rPr>
                        </w:pPr>
                        <w:r>
                          <w:rPr>
                            <w:rFonts w:ascii="Wingdings" w:hAnsi="Wingdings"/>
                            <w:w w:val="100"/>
                            <w:sz w:val="22"/>
                          </w:rPr>
                          <w:t></w:t>
                        </w:r>
                      </w:p>
                    </w:tc>
                  </w:tr>
                  <w:tr>
                    <w:trPr>
                      <w:trHeight w:val="600" w:hRule="atLeast"/>
                    </w:trPr>
                    <w:tc>
                      <w:tcPr>
                        <w:tcW w:w="5641" w:type="dxa"/>
                        <w:gridSpan w:val="2"/>
                      </w:tcPr>
                      <w:p>
                        <w:pPr>
                          <w:pStyle w:val="TableParagraph"/>
                          <w:spacing w:line="240" w:lineRule="auto" w:before="5"/>
                          <w:rPr>
                            <w:rFonts w:ascii="Wingdings"/>
                            <w:sz w:val="32"/>
                          </w:rPr>
                        </w:pPr>
                      </w:p>
                      <w:p>
                        <w:pPr>
                          <w:pStyle w:val="TableParagraph"/>
                          <w:tabs>
                            <w:tab w:pos="5090" w:val="left" w:leader="none"/>
                          </w:tabs>
                          <w:spacing w:line="233" w:lineRule="exact" w:before="1"/>
                          <w:ind w:left="50"/>
                          <w:rPr>
                            <w:sz w:val="22"/>
                          </w:rPr>
                        </w:pPr>
                        <w:r>
                          <w:rPr>
                            <w:sz w:val="22"/>
                          </w:rPr>
                          <w:t>Is the facility</w:t>
                        </w:r>
                        <w:r>
                          <w:rPr>
                            <w:spacing w:val="-9"/>
                            <w:sz w:val="22"/>
                          </w:rPr>
                          <w:t> </w:t>
                        </w:r>
                        <w:r>
                          <w:rPr>
                            <w:sz w:val="22"/>
                          </w:rPr>
                          <w:t>wheelchair</w:t>
                        </w:r>
                        <w:r>
                          <w:rPr>
                            <w:spacing w:val="-1"/>
                            <w:sz w:val="22"/>
                          </w:rPr>
                          <w:t> </w:t>
                        </w:r>
                        <w:r>
                          <w:rPr>
                            <w:sz w:val="22"/>
                          </w:rPr>
                          <w:t>accessible?</w:t>
                          <w:tab/>
                          <w:t>Yes</w:t>
                        </w:r>
                      </w:p>
                    </w:tc>
                    <w:tc>
                      <w:tcPr>
                        <w:tcW w:w="720" w:type="dxa"/>
                      </w:tcPr>
                      <w:p>
                        <w:pPr>
                          <w:pStyle w:val="TableParagraph"/>
                          <w:spacing w:line="240" w:lineRule="auto" w:before="3"/>
                          <w:rPr>
                            <w:rFonts w:ascii="Wingdings"/>
                            <w:sz w:val="33"/>
                          </w:rPr>
                        </w:pPr>
                      </w:p>
                      <w:p>
                        <w:pPr>
                          <w:pStyle w:val="TableParagraph"/>
                          <w:spacing w:line="225" w:lineRule="exact"/>
                          <w:ind w:left="170"/>
                          <w:rPr>
                            <w:rFonts w:ascii="Wingdings" w:hAnsi="Wingdings"/>
                            <w:sz w:val="22"/>
                          </w:rPr>
                        </w:pPr>
                        <w:r>
                          <w:rPr>
                            <w:rFonts w:ascii="Wingdings" w:hAnsi="Wingdings"/>
                            <w:w w:val="100"/>
                            <w:sz w:val="22"/>
                          </w:rPr>
                          <w:t></w:t>
                        </w:r>
                      </w:p>
                    </w:tc>
                    <w:tc>
                      <w:tcPr>
                        <w:tcW w:w="671" w:type="dxa"/>
                      </w:tcPr>
                      <w:p>
                        <w:pPr>
                          <w:pStyle w:val="TableParagraph"/>
                          <w:spacing w:line="240" w:lineRule="auto" w:before="5"/>
                          <w:rPr>
                            <w:rFonts w:ascii="Wingdings"/>
                            <w:sz w:val="32"/>
                          </w:rPr>
                        </w:pPr>
                      </w:p>
                      <w:p>
                        <w:pPr>
                          <w:pStyle w:val="TableParagraph"/>
                          <w:spacing w:line="233" w:lineRule="exact" w:before="1"/>
                          <w:ind w:left="170"/>
                          <w:rPr>
                            <w:sz w:val="22"/>
                          </w:rPr>
                        </w:pPr>
                        <w:r>
                          <w:rPr>
                            <w:sz w:val="22"/>
                          </w:rPr>
                          <w:t>No</w:t>
                        </w:r>
                      </w:p>
                    </w:tc>
                    <w:tc>
                      <w:tcPr>
                        <w:tcW w:w="819" w:type="dxa"/>
                      </w:tcPr>
                      <w:p>
                        <w:pPr>
                          <w:pStyle w:val="TableParagraph"/>
                          <w:spacing w:line="240" w:lineRule="auto" w:before="3"/>
                          <w:rPr>
                            <w:rFonts w:ascii="Wingdings"/>
                            <w:sz w:val="33"/>
                          </w:rPr>
                        </w:pPr>
                      </w:p>
                      <w:p>
                        <w:pPr>
                          <w:pStyle w:val="TableParagraph"/>
                          <w:spacing w:line="225" w:lineRule="exact"/>
                          <w:ind w:left="219"/>
                          <w:rPr>
                            <w:rFonts w:ascii="Wingdings" w:hAnsi="Wingdings"/>
                            <w:sz w:val="22"/>
                          </w:rPr>
                        </w:pPr>
                        <w:r>
                          <w:rPr>
                            <w:rFonts w:ascii="Wingdings" w:hAnsi="Wingdings"/>
                            <w:w w:val="100"/>
                            <w:sz w:val="22"/>
                          </w:rPr>
                          <w:t></w:t>
                        </w:r>
                      </w:p>
                    </w:tc>
                    <w:tc>
                      <w:tcPr>
                        <w:tcW w:w="676" w:type="dxa"/>
                      </w:tcPr>
                      <w:p>
                        <w:pPr>
                          <w:pStyle w:val="TableParagraph"/>
                          <w:spacing w:line="240" w:lineRule="auto"/>
                          <w:rPr>
                            <w:rFonts w:ascii="Times New Roman"/>
                            <w:sz w:val="22"/>
                          </w:rPr>
                        </w:pPr>
                      </w:p>
                    </w:tc>
                  </w:tr>
                </w:tbl>
                <w:p>
                  <w:pPr>
                    <w:pStyle w:val="BodyText"/>
                  </w:pPr>
                </w:p>
              </w:txbxContent>
            </v:textbox>
            <w10:wrap type="none"/>
          </v:shape>
        </w:pict>
      </w:r>
      <w:r>
        <w:rPr>
          <w:sz w:val="22"/>
        </w:rPr>
        <w:t>Only service users of</w:t>
      </w:r>
      <w:r>
        <w:rPr>
          <w:spacing w:val="-7"/>
          <w:sz w:val="22"/>
        </w:rPr>
        <w:t> </w:t>
      </w:r>
      <w:r>
        <w:rPr>
          <w:sz w:val="22"/>
        </w:rPr>
        <w:t>your</w:t>
      </w:r>
      <w:r>
        <w:rPr>
          <w:spacing w:val="-1"/>
          <w:sz w:val="22"/>
        </w:rPr>
        <w:t> </w:t>
      </w:r>
      <w:r>
        <w:rPr>
          <w:sz w:val="22"/>
        </w:rPr>
        <w:t>organisation</w:t>
        <w:tab/>
      </w:r>
      <w:r>
        <w:rPr>
          <w:rFonts w:ascii="Wingdings" w:hAnsi="Wingdings"/>
          <w:sz w:val="22"/>
        </w:rPr>
        <w:t></w:t>
      </w: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BodyText"/>
        <w:rPr>
          <w:rFonts w:ascii="Wingdings"/>
        </w:rPr>
      </w:pPr>
    </w:p>
    <w:p>
      <w:pPr>
        <w:pStyle w:val="ListParagraph"/>
        <w:numPr>
          <w:ilvl w:val="1"/>
          <w:numId w:val="17"/>
        </w:numPr>
        <w:tabs>
          <w:tab w:pos="766" w:val="left" w:leader="none"/>
          <w:tab w:pos="767" w:val="left" w:leader="none"/>
        </w:tabs>
        <w:spacing w:line="240" w:lineRule="auto" w:before="191" w:after="0"/>
        <w:ind w:left="766" w:right="0" w:hanging="616"/>
        <w:jc w:val="left"/>
        <w:rPr>
          <w:b/>
          <w:sz w:val="22"/>
        </w:rPr>
      </w:pPr>
      <w:r>
        <w:rPr>
          <w:b/>
          <w:sz w:val="22"/>
        </w:rPr>
        <w:t>Accessibility</w:t>
      </w:r>
    </w:p>
    <w:p>
      <w:pPr>
        <w:pStyle w:val="BodyText"/>
        <w:rPr>
          <w:b/>
        </w:rPr>
      </w:pPr>
    </w:p>
    <w:p>
      <w:pPr>
        <w:pStyle w:val="BodyText"/>
        <w:rPr>
          <w:b/>
        </w:rPr>
      </w:pPr>
    </w:p>
    <w:p>
      <w:pPr>
        <w:pStyle w:val="BodyText"/>
        <w:rPr>
          <w:b/>
        </w:rPr>
      </w:pPr>
    </w:p>
    <w:p>
      <w:pPr>
        <w:spacing w:before="193"/>
        <w:ind w:left="150" w:right="0" w:firstLine="0"/>
        <w:jc w:val="left"/>
        <w:rPr>
          <w:sz w:val="22"/>
        </w:rPr>
      </w:pPr>
      <w:r>
        <w:rPr>
          <w:sz w:val="22"/>
        </w:rPr>
        <w:t>If </w:t>
      </w:r>
      <w:r>
        <w:rPr>
          <w:b/>
          <w:sz w:val="22"/>
        </w:rPr>
        <w:t>Yes</w:t>
      </w:r>
      <w:r>
        <w:rPr>
          <w:sz w:val="22"/>
        </w:rPr>
        <w:t>, please specify:</w:t>
      </w:r>
    </w:p>
    <w:p>
      <w:pPr>
        <w:pStyle w:val="ListParagraph"/>
        <w:numPr>
          <w:ilvl w:val="0"/>
          <w:numId w:val="18"/>
        </w:numPr>
        <w:tabs>
          <w:tab w:pos="484" w:val="left" w:leader="none"/>
          <w:tab w:pos="8071" w:val="left" w:leader="none"/>
          <w:tab w:pos="8791" w:val="left" w:leader="none"/>
        </w:tabs>
        <w:spacing w:line="240" w:lineRule="auto" w:before="126" w:after="0"/>
        <w:ind w:left="150" w:right="0" w:firstLine="0"/>
        <w:jc w:val="left"/>
        <w:rPr>
          <w:rFonts w:ascii="Wingdings" w:hAnsi="Wingdings"/>
          <w:sz w:val="22"/>
        </w:rPr>
      </w:pPr>
      <w:r>
        <w:rPr>
          <w:sz w:val="22"/>
        </w:rPr>
        <w:t>Are there designated parking spaces for people with disabilities?</w:t>
      </w:r>
      <w:r>
        <w:rPr>
          <w:spacing w:val="-21"/>
          <w:sz w:val="22"/>
        </w:rPr>
        <w:t> </w:t>
      </w:r>
      <w:r>
        <w:rPr>
          <w:sz w:val="22"/>
        </w:rPr>
        <w:t>Yes </w:t>
      </w:r>
      <w:r>
        <w:rPr>
          <w:spacing w:val="30"/>
          <w:sz w:val="22"/>
        </w:rPr>
        <w:t> </w:t>
      </w:r>
      <w:r>
        <w:rPr>
          <w:rFonts w:ascii="Wingdings" w:hAnsi="Wingdings"/>
          <w:sz w:val="22"/>
        </w:rPr>
        <w:t></w:t>
        <w:tab/>
      </w:r>
      <w:r>
        <w:rPr>
          <w:sz w:val="22"/>
        </w:rPr>
        <w:t>No</w:t>
        <w:tab/>
      </w:r>
      <w:r>
        <w:rPr>
          <w:rFonts w:ascii="Wingdings" w:hAnsi="Wingdings"/>
          <w:sz w:val="22"/>
        </w:rPr>
        <w:t></w:t>
      </w:r>
    </w:p>
    <w:p>
      <w:pPr>
        <w:pStyle w:val="BodyText"/>
        <w:spacing w:before="3"/>
        <w:rPr>
          <w:rFonts w:ascii="Wingdings"/>
          <w:sz w:val="29"/>
        </w:rPr>
      </w:pPr>
    </w:p>
    <w:p>
      <w:pPr>
        <w:pStyle w:val="ListParagraph"/>
        <w:numPr>
          <w:ilvl w:val="0"/>
          <w:numId w:val="18"/>
        </w:numPr>
        <w:tabs>
          <w:tab w:pos="494" w:val="left" w:leader="none"/>
          <w:tab w:pos="6631" w:val="left" w:leader="none"/>
          <w:tab w:pos="7351" w:val="left" w:leader="none"/>
          <w:tab w:pos="8071" w:val="left" w:leader="none"/>
          <w:tab w:pos="8791" w:val="left" w:leader="none"/>
        </w:tabs>
        <w:spacing w:line="278" w:lineRule="auto" w:before="0" w:after="0"/>
        <w:ind w:left="150" w:right="135" w:firstLine="0"/>
        <w:jc w:val="left"/>
        <w:rPr>
          <w:rFonts w:ascii="Wingdings" w:hAnsi="Wingdings"/>
          <w:sz w:val="22"/>
        </w:rPr>
      </w:pPr>
      <w:r>
        <w:rPr>
          <w:sz w:val="22"/>
        </w:rPr>
        <w:t>Is there an accessible route (i.e free from steps) from car park to the entrance of the facility?</w:t>
        <w:tab/>
        <w:t>Yes</w:t>
        <w:tab/>
      </w:r>
      <w:r>
        <w:rPr>
          <w:rFonts w:ascii="Wingdings" w:hAnsi="Wingdings"/>
          <w:sz w:val="22"/>
        </w:rPr>
        <w:t></w:t>
        <w:tab/>
      </w:r>
      <w:r>
        <w:rPr>
          <w:sz w:val="22"/>
        </w:rPr>
        <w:t>No</w:t>
        <w:tab/>
      </w:r>
      <w:r>
        <w:rPr>
          <w:rFonts w:ascii="Wingdings" w:hAnsi="Wingdings"/>
          <w:sz w:val="22"/>
        </w:rPr>
        <w:t></w:t>
      </w:r>
    </w:p>
    <w:p>
      <w:pPr>
        <w:pStyle w:val="ListParagraph"/>
        <w:numPr>
          <w:ilvl w:val="0"/>
          <w:numId w:val="18"/>
        </w:numPr>
        <w:tabs>
          <w:tab w:pos="482" w:val="left" w:leader="none"/>
        </w:tabs>
        <w:spacing w:line="240" w:lineRule="auto" w:before="196" w:after="0"/>
        <w:ind w:left="481" w:right="0" w:hanging="331"/>
        <w:jc w:val="left"/>
        <w:rPr>
          <w:sz w:val="22"/>
        </w:rPr>
      </w:pPr>
      <w:r>
        <w:rPr>
          <w:sz w:val="22"/>
        </w:rPr>
        <w:t>Is the primary/front door entrance accessible, (i.e. level</w:t>
      </w:r>
      <w:r>
        <w:rPr>
          <w:spacing w:val="-19"/>
          <w:sz w:val="22"/>
        </w:rPr>
        <w:t> </w:t>
      </w:r>
      <w:r>
        <w:rPr>
          <w:sz w:val="22"/>
        </w:rPr>
        <w:t>access)?</w:t>
      </w:r>
    </w:p>
    <w:p>
      <w:pPr>
        <w:tabs>
          <w:tab w:pos="719" w:val="left" w:leader="none"/>
          <w:tab w:pos="1439" w:val="left" w:leader="none"/>
          <w:tab w:pos="2160" w:val="left" w:leader="none"/>
        </w:tabs>
        <w:spacing w:before="39"/>
        <w:ind w:left="0" w:right="135" w:firstLine="0"/>
        <w:jc w:val="right"/>
        <w:rPr>
          <w:rFonts w:ascii="Wingdings" w:hAnsi="Wingdings"/>
          <w:sz w:val="22"/>
        </w:rPr>
      </w:pPr>
      <w:r>
        <w:rPr>
          <w:sz w:val="22"/>
        </w:rPr>
        <w:t>Yes</w:t>
        <w:tab/>
      </w:r>
      <w:r>
        <w:rPr>
          <w:rFonts w:ascii="Wingdings" w:hAnsi="Wingdings"/>
          <w:sz w:val="22"/>
        </w:rPr>
        <w:t></w:t>
        <w:tab/>
      </w:r>
      <w:r>
        <w:rPr>
          <w:sz w:val="22"/>
        </w:rPr>
        <w:t>No</w:t>
        <w:tab/>
      </w:r>
      <w:r>
        <w:rPr>
          <w:rFonts w:ascii="Wingdings" w:hAnsi="Wingdings"/>
          <w:sz w:val="22"/>
        </w:rPr>
        <w:t></w:t>
      </w:r>
    </w:p>
    <w:p>
      <w:pPr>
        <w:pStyle w:val="BodyText"/>
        <w:spacing w:before="3"/>
        <w:rPr>
          <w:rFonts w:ascii="Wingdings"/>
          <w:sz w:val="21"/>
        </w:rPr>
      </w:pPr>
    </w:p>
    <w:p>
      <w:pPr>
        <w:pStyle w:val="ListParagraph"/>
        <w:numPr>
          <w:ilvl w:val="0"/>
          <w:numId w:val="18"/>
        </w:numPr>
        <w:tabs>
          <w:tab w:pos="494" w:val="left" w:leader="none"/>
          <w:tab w:pos="6621" w:val="left" w:leader="none"/>
          <w:tab w:pos="7368" w:val="left" w:leader="none"/>
          <w:tab w:pos="8114" w:val="left" w:leader="none"/>
          <w:tab w:pos="8823" w:val="left" w:leader="none"/>
        </w:tabs>
        <w:spacing w:line="240" w:lineRule="auto" w:before="0" w:after="0"/>
        <w:ind w:left="493" w:right="0" w:hanging="343"/>
        <w:jc w:val="left"/>
        <w:rPr>
          <w:rFonts w:ascii="Wingdings" w:hAnsi="Wingdings"/>
          <w:sz w:val="22"/>
        </w:rPr>
      </w:pPr>
      <w:r>
        <w:rPr>
          <w:sz w:val="22"/>
        </w:rPr>
        <w:t>Is there at least one accessible</w:t>
      </w:r>
      <w:r>
        <w:rPr>
          <w:spacing w:val="-14"/>
          <w:sz w:val="22"/>
        </w:rPr>
        <w:t> </w:t>
      </w:r>
      <w:r>
        <w:rPr>
          <w:sz w:val="22"/>
        </w:rPr>
        <w:t>toilet</w:t>
      </w:r>
      <w:r>
        <w:rPr>
          <w:spacing w:val="-1"/>
          <w:sz w:val="22"/>
        </w:rPr>
        <w:t> </w:t>
      </w:r>
      <w:r>
        <w:rPr>
          <w:sz w:val="22"/>
        </w:rPr>
        <w:t>available?</w:t>
        <w:tab/>
        <w:t>Yes</w:t>
        <w:tab/>
      </w:r>
      <w:r>
        <w:rPr>
          <w:rFonts w:ascii="Wingdings" w:hAnsi="Wingdings"/>
          <w:sz w:val="22"/>
        </w:rPr>
        <w:t></w:t>
        <w:tab/>
      </w:r>
      <w:r>
        <w:rPr>
          <w:sz w:val="22"/>
        </w:rPr>
        <w:t>No</w:t>
        <w:tab/>
      </w:r>
      <w:r>
        <w:rPr>
          <w:rFonts w:ascii="Wingdings" w:hAnsi="Wingdings"/>
          <w:sz w:val="22"/>
        </w:rPr>
        <w:t></w:t>
      </w:r>
    </w:p>
    <w:p>
      <w:pPr>
        <w:pStyle w:val="BodyText"/>
        <w:spacing w:before="6"/>
        <w:rPr>
          <w:rFonts w:ascii="Wingdings"/>
          <w:sz w:val="29"/>
        </w:rPr>
      </w:pPr>
    </w:p>
    <w:p>
      <w:pPr>
        <w:pStyle w:val="ListParagraph"/>
        <w:numPr>
          <w:ilvl w:val="0"/>
          <w:numId w:val="18"/>
        </w:numPr>
        <w:tabs>
          <w:tab w:pos="482" w:val="left" w:leader="none"/>
          <w:tab w:pos="5190" w:val="left" w:leader="none"/>
          <w:tab w:pos="5910" w:val="left" w:leader="none"/>
          <w:tab w:pos="6631" w:val="left" w:leader="none"/>
          <w:tab w:pos="7351" w:val="left" w:leader="none"/>
        </w:tabs>
        <w:spacing w:line="278" w:lineRule="auto" w:before="0" w:after="0"/>
        <w:ind w:left="150" w:right="289" w:firstLine="0"/>
        <w:jc w:val="left"/>
        <w:rPr>
          <w:rFonts w:ascii="Wingdings" w:hAnsi="Wingdings"/>
          <w:sz w:val="22"/>
        </w:rPr>
      </w:pPr>
      <w:r>
        <w:rPr>
          <w:sz w:val="22"/>
        </w:rPr>
        <w:t>Is there an induction loop installed in the meeting room to assist people with a hearing impairment?</w:t>
        <w:tab/>
        <w:t>Yes</w:t>
        <w:tab/>
      </w:r>
      <w:r>
        <w:rPr>
          <w:rFonts w:ascii="Wingdings" w:hAnsi="Wingdings"/>
          <w:sz w:val="22"/>
        </w:rPr>
        <w:t></w:t>
        <w:tab/>
      </w:r>
      <w:r>
        <w:rPr>
          <w:sz w:val="22"/>
        </w:rPr>
        <w:t>No</w:t>
        <w:tab/>
      </w:r>
      <w:r>
        <w:rPr>
          <w:rFonts w:ascii="Wingdings" w:hAnsi="Wingdings"/>
          <w:sz w:val="22"/>
        </w:rPr>
        <w:t></w:t>
      </w:r>
    </w:p>
    <w:p>
      <w:pPr>
        <w:spacing w:after="0" w:line="278" w:lineRule="auto"/>
        <w:jc w:val="left"/>
        <w:rPr>
          <w:rFonts w:ascii="Wingdings" w:hAnsi="Wingdings"/>
          <w:sz w:val="22"/>
        </w:rPr>
        <w:sectPr>
          <w:headerReference w:type="default" r:id="rId58"/>
          <w:footerReference w:type="default" r:id="rId59"/>
          <w:pgSz w:w="11910" w:h="17340"/>
          <w:pgMar w:header="759" w:footer="0" w:top="940" w:bottom="280" w:left="1420" w:right="1360"/>
        </w:sectPr>
      </w:pPr>
    </w:p>
    <w:p>
      <w:pPr>
        <w:pStyle w:val="BodyText"/>
        <w:spacing w:before="9"/>
        <w:rPr>
          <w:rFonts w:ascii="Wingdings"/>
          <w:sz w:val="15"/>
        </w:rPr>
      </w:pPr>
    </w:p>
    <w:p>
      <w:pPr>
        <w:pStyle w:val="ListParagraph"/>
        <w:numPr>
          <w:ilvl w:val="1"/>
          <w:numId w:val="17"/>
        </w:numPr>
        <w:tabs>
          <w:tab w:pos="829" w:val="left" w:leader="none"/>
          <w:tab w:pos="830" w:val="left" w:leader="none"/>
        </w:tabs>
        <w:spacing w:line="240" w:lineRule="auto" w:before="94" w:after="0"/>
        <w:ind w:left="830" w:right="0" w:hanging="720"/>
        <w:jc w:val="left"/>
        <w:rPr>
          <w:sz w:val="22"/>
        </w:rPr>
      </w:pPr>
      <w:r>
        <w:rPr>
          <w:sz w:val="22"/>
        </w:rPr>
        <w:t>What is the catchment area of your</w:t>
      </w:r>
      <w:r>
        <w:rPr>
          <w:spacing w:val="-18"/>
          <w:sz w:val="22"/>
        </w:rPr>
        <w:t> </w:t>
      </w:r>
      <w:r>
        <w:rPr>
          <w:sz w:val="22"/>
        </w:rPr>
        <w:t>facility?</w:t>
      </w:r>
    </w:p>
    <w:p>
      <w:pPr>
        <w:pStyle w:val="BodyText"/>
        <w:spacing w:before="4"/>
        <w:rPr>
          <w:sz w:val="21"/>
        </w:rPr>
      </w:pPr>
    </w:p>
    <w:tbl>
      <w:tblPr>
        <w:tblW w:w="0" w:type="auto"/>
        <w:jc w:val="lef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81"/>
        <w:gridCol w:w="4584"/>
        <w:gridCol w:w="433"/>
      </w:tblGrid>
      <w:tr>
        <w:trPr>
          <w:trHeight w:val="360" w:hRule="atLeast"/>
        </w:trPr>
        <w:tc>
          <w:tcPr>
            <w:tcW w:w="2481" w:type="dxa"/>
          </w:tcPr>
          <w:p>
            <w:pPr>
              <w:pStyle w:val="TableParagraph"/>
              <w:spacing w:line="247" w:lineRule="exact"/>
              <w:ind w:left="50"/>
              <w:rPr>
                <w:sz w:val="22"/>
              </w:rPr>
            </w:pPr>
            <w:r>
              <w:rPr>
                <w:sz w:val="22"/>
              </w:rPr>
              <w:t>Parish boundary</w:t>
            </w:r>
          </w:p>
        </w:tc>
        <w:tc>
          <w:tcPr>
            <w:tcW w:w="4584" w:type="dxa"/>
          </w:tcPr>
          <w:p>
            <w:pPr>
              <w:pStyle w:val="TableParagraph"/>
              <w:tabs>
                <w:tab w:pos="1889" w:val="left" w:leader="none"/>
              </w:tabs>
              <w:spacing w:line="247" w:lineRule="exact"/>
              <w:ind w:left="449"/>
              <w:rPr>
                <w:sz w:val="22"/>
              </w:rPr>
            </w:pPr>
            <w:r>
              <w:rPr>
                <w:rFonts w:ascii="Wingdings" w:hAnsi="Wingdings"/>
                <w:sz w:val="22"/>
              </w:rPr>
              <w:t></w:t>
              <w:tab/>
            </w:r>
            <w:r>
              <w:rPr>
                <w:sz w:val="22"/>
              </w:rPr>
              <w:t>County Wide</w:t>
            </w:r>
          </w:p>
        </w:tc>
        <w:tc>
          <w:tcPr>
            <w:tcW w:w="433" w:type="dxa"/>
          </w:tcPr>
          <w:p>
            <w:pPr>
              <w:pStyle w:val="TableParagraph"/>
              <w:spacing w:line="240" w:lineRule="auto" w:before="2"/>
              <w:ind w:right="48"/>
              <w:jc w:val="right"/>
              <w:rPr>
                <w:rFonts w:ascii="Wingdings" w:hAnsi="Wingdings"/>
                <w:sz w:val="22"/>
              </w:rPr>
            </w:pPr>
            <w:r>
              <w:rPr>
                <w:rFonts w:ascii="Wingdings" w:hAnsi="Wingdings"/>
                <w:w w:val="100"/>
                <w:sz w:val="22"/>
              </w:rPr>
              <w:t></w:t>
            </w:r>
          </w:p>
        </w:tc>
      </w:tr>
      <w:tr>
        <w:trPr>
          <w:trHeight w:val="480" w:hRule="atLeast"/>
        </w:trPr>
        <w:tc>
          <w:tcPr>
            <w:tcW w:w="2481" w:type="dxa"/>
          </w:tcPr>
          <w:p>
            <w:pPr>
              <w:pStyle w:val="TableParagraph"/>
              <w:spacing w:line="240" w:lineRule="auto" w:before="116"/>
              <w:ind w:left="50"/>
              <w:rPr>
                <w:sz w:val="22"/>
              </w:rPr>
            </w:pPr>
            <w:r>
              <w:rPr>
                <w:sz w:val="22"/>
              </w:rPr>
              <w:t>Village and environs</w:t>
            </w:r>
          </w:p>
        </w:tc>
        <w:tc>
          <w:tcPr>
            <w:tcW w:w="4584" w:type="dxa"/>
          </w:tcPr>
          <w:p>
            <w:pPr>
              <w:pStyle w:val="TableParagraph"/>
              <w:tabs>
                <w:tab w:pos="1889" w:val="left" w:leader="none"/>
              </w:tabs>
              <w:spacing w:line="240" w:lineRule="auto" w:before="116"/>
              <w:ind w:left="449"/>
              <w:rPr>
                <w:sz w:val="22"/>
              </w:rPr>
            </w:pPr>
            <w:r>
              <w:rPr>
                <w:rFonts w:ascii="Wingdings" w:hAnsi="Wingdings"/>
                <w:sz w:val="22"/>
              </w:rPr>
              <w:t></w:t>
              <w:tab/>
            </w:r>
            <w:r>
              <w:rPr>
                <w:sz w:val="22"/>
              </w:rPr>
              <w:t>Regions within the</w:t>
            </w:r>
            <w:r>
              <w:rPr>
                <w:spacing w:val="-7"/>
                <w:sz w:val="22"/>
              </w:rPr>
              <w:t> </w:t>
            </w:r>
            <w:r>
              <w:rPr>
                <w:sz w:val="22"/>
              </w:rPr>
              <w:t>county</w:t>
            </w:r>
          </w:p>
        </w:tc>
        <w:tc>
          <w:tcPr>
            <w:tcW w:w="433" w:type="dxa"/>
          </w:tcPr>
          <w:p>
            <w:pPr>
              <w:pStyle w:val="TableParagraph"/>
              <w:spacing w:line="240" w:lineRule="auto" w:before="124"/>
              <w:ind w:right="48"/>
              <w:jc w:val="right"/>
              <w:rPr>
                <w:rFonts w:ascii="Wingdings" w:hAnsi="Wingdings"/>
                <w:sz w:val="22"/>
              </w:rPr>
            </w:pPr>
            <w:r>
              <w:rPr>
                <w:rFonts w:ascii="Wingdings" w:hAnsi="Wingdings"/>
                <w:w w:val="100"/>
                <w:sz w:val="22"/>
              </w:rPr>
              <w:t></w:t>
            </w:r>
          </w:p>
        </w:tc>
      </w:tr>
      <w:tr>
        <w:trPr>
          <w:trHeight w:val="360" w:hRule="atLeast"/>
        </w:trPr>
        <w:tc>
          <w:tcPr>
            <w:tcW w:w="2481" w:type="dxa"/>
          </w:tcPr>
          <w:p>
            <w:pPr>
              <w:pStyle w:val="TableParagraph"/>
              <w:spacing w:line="233" w:lineRule="exact" w:before="115"/>
              <w:ind w:left="50"/>
              <w:rPr>
                <w:sz w:val="22"/>
              </w:rPr>
            </w:pPr>
            <w:r>
              <w:rPr>
                <w:sz w:val="22"/>
              </w:rPr>
              <w:t>Town and environs</w:t>
            </w:r>
          </w:p>
        </w:tc>
        <w:tc>
          <w:tcPr>
            <w:tcW w:w="4584" w:type="dxa"/>
          </w:tcPr>
          <w:p>
            <w:pPr>
              <w:pStyle w:val="TableParagraph"/>
              <w:tabs>
                <w:tab w:pos="1889" w:val="left" w:leader="none"/>
              </w:tabs>
              <w:spacing w:line="233" w:lineRule="exact" w:before="115"/>
              <w:ind w:left="449"/>
              <w:rPr>
                <w:sz w:val="22"/>
              </w:rPr>
            </w:pPr>
            <w:r>
              <w:rPr>
                <w:rFonts w:ascii="Wingdings" w:hAnsi="Wingdings"/>
                <w:sz w:val="22"/>
              </w:rPr>
              <w:t></w:t>
              <w:tab/>
            </w:r>
            <w:r>
              <w:rPr>
                <w:sz w:val="22"/>
              </w:rPr>
              <w:t>Regional or</w:t>
            </w:r>
            <w:r>
              <w:rPr>
                <w:spacing w:val="-4"/>
                <w:sz w:val="22"/>
              </w:rPr>
              <w:t> </w:t>
            </w:r>
            <w:r>
              <w:rPr>
                <w:sz w:val="22"/>
              </w:rPr>
              <w:t>National</w:t>
            </w:r>
          </w:p>
        </w:tc>
        <w:tc>
          <w:tcPr>
            <w:tcW w:w="433" w:type="dxa"/>
          </w:tcPr>
          <w:p>
            <w:pPr>
              <w:pStyle w:val="TableParagraph"/>
              <w:spacing w:line="225" w:lineRule="exact" w:before="123"/>
              <w:ind w:right="48"/>
              <w:jc w:val="right"/>
              <w:rPr>
                <w:rFonts w:ascii="Wingdings" w:hAnsi="Wingdings"/>
                <w:sz w:val="22"/>
              </w:rPr>
            </w:pPr>
            <w:r>
              <w:rPr>
                <w:rFonts w:ascii="Wingdings" w:hAnsi="Wingdings"/>
                <w:w w:val="100"/>
                <w:sz w:val="22"/>
              </w:rPr>
              <w:t></w:t>
            </w:r>
          </w:p>
        </w:tc>
      </w:tr>
    </w:tbl>
    <w:p>
      <w:pPr>
        <w:pStyle w:val="BodyText"/>
      </w:pPr>
    </w:p>
    <w:p>
      <w:pPr>
        <w:pStyle w:val="BodyText"/>
      </w:pPr>
    </w:p>
    <w:p>
      <w:pPr>
        <w:pStyle w:val="BodyText"/>
        <w:spacing w:before="4"/>
        <w:rPr>
          <w:sz w:val="31"/>
        </w:rPr>
      </w:pPr>
    </w:p>
    <w:p>
      <w:pPr>
        <w:pStyle w:val="Heading2"/>
        <w:spacing w:line="405" w:lineRule="auto" w:before="0"/>
        <w:ind w:left="3377" w:right="1416" w:hanging="560"/>
      </w:pPr>
      <w:r>
        <w:rPr/>
        <w:t>Thank you for your time, your feedback is important.</w:t>
      </w:r>
    </w:p>
    <w:p>
      <w:pPr>
        <w:spacing w:after="0" w:line="405" w:lineRule="auto"/>
        <w:sectPr>
          <w:headerReference w:type="default" r:id="rId60"/>
          <w:footerReference w:type="default" r:id="rId61"/>
          <w:pgSz w:w="11910" w:h="17340"/>
          <w:pgMar w:header="759" w:footer="0" w:top="940" w:bottom="280" w:left="1460" w:right="1680"/>
        </w:sectPr>
      </w:pPr>
    </w:p>
    <w:p>
      <w:pPr>
        <w:pStyle w:val="BodyText"/>
        <w:spacing w:before="4"/>
        <w:rPr>
          <w:rFonts w:ascii="Times New Roman"/>
          <w:sz w:val="17"/>
        </w:rPr>
      </w:pPr>
    </w:p>
    <w:p>
      <w:pPr>
        <w:spacing w:after="0"/>
        <w:rPr>
          <w:rFonts w:ascii="Times New Roman"/>
          <w:sz w:val="17"/>
        </w:rPr>
        <w:sectPr>
          <w:headerReference w:type="default" r:id="rId62"/>
          <w:footerReference w:type="default" r:id="rId63"/>
          <w:pgSz w:w="11910" w:h="17340"/>
          <w:pgMar w:header="759" w:footer="0" w:top="940" w:bottom="280" w:left="1460" w:right="1680"/>
        </w:sectPr>
      </w:pPr>
    </w:p>
    <w:p>
      <w:pPr>
        <w:pStyle w:val="BodyText"/>
        <w:spacing w:before="7"/>
        <w:rPr>
          <w:rFonts w:ascii="Times New Roman"/>
          <w:sz w:val="15"/>
        </w:rPr>
      </w:pPr>
    </w:p>
    <w:p>
      <w:pPr>
        <w:pStyle w:val="Heading3"/>
        <w:spacing w:before="92"/>
        <w:rPr>
          <w:u w:val="none"/>
        </w:rPr>
      </w:pPr>
      <w:r>
        <w:rPr>
          <w:u w:val="thick"/>
        </w:rPr>
        <w:t>Appendix 4: ‘Other’ Type of Facility. (Question 2.1)</w:t>
      </w:r>
    </w:p>
    <w:p>
      <w:pPr>
        <w:pStyle w:val="ListParagraph"/>
        <w:numPr>
          <w:ilvl w:val="2"/>
          <w:numId w:val="17"/>
        </w:numPr>
        <w:tabs>
          <w:tab w:pos="829" w:val="left" w:leader="none"/>
          <w:tab w:pos="830" w:val="left" w:leader="none"/>
        </w:tabs>
        <w:spacing w:line="295" w:lineRule="exact" w:before="151" w:after="0"/>
        <w:ind w:left="830" w:right="0" w:hanging="360"/>
        <w:jc w:val="left"/>
        <w:rPr>
          <w:rFonts w:ascii="Symbol"/>
          <w:sz w:val="24"/>
        </w:rPr>
      </w:pPr>
      <w:r>
        <w:rPr>
          <w:sz w:val="24"/>
        </w:rPr>
        <w:t>Heritage Centre</w:t>
      </w:r>
      <w:r>
        <w:rPr>
          <w:spacing w:val="-4"/>
          <w:sz w:val="24"/>
        </w:rPr>
        <w:t> </w:t>
      </w:r>
      <w:r>
        <w:rPr>
          <w:sz w:val="24"/>
        </w:rPr>
        <w:t>(x2)</w:t>
      </w:r>
    </w:p>
    <w:p>
      <w:pPr>
        <w:pStyle w:val="ListParagraph"/>
        <w:numPr>
          <w:ilvl w:val="2"/>
          <w:numId w:val="17"/>
        </w:numPr>
        <w:tabs>
          <w:tab w:pos="829" w:val="left" w:leader="none"/>
          <w:tab w:pos="830" w:val="left" w:leader="none"/>
        </w:tabs>
        <w:spacing w:line="284" w:lineRule="exact" w:before="0" w:after="0"/>
        <w:ind w:left="830" w:right="0" w:hanging="360"/>
        <w:jc w:val="left"/>
        <w:rPr>
          <w:rFonts w:ascii="Symbol"/>
          <w:sz w:val="24"/>
        </w:rPr>
      </w:pPr>
      <w:r>
        <w:rPr>
          <w:color w:val="333333"/>
          <w:sz w:val="24"/>
        </w:rPr>
        <w:t>Training Centre for People with intellectual</w:t>
      </w:r>
      <w:r>
        <w:rPr>
          <w:color w:val="333333"/>
          <w:spacing w:val="-14"/>
          <w:sz w:val="24"/>
        </w:rPr>
        <w:t> </w:t>
      </w:r>
      <w:r>
        <w:rPr>
          <w:color w:val="333333"/>
          <w:sz w:val="24"/>
        </w:rPr>
        <w:t>disabilities</w:t>
      </w:r>
    </w:p>
    <w:p>
      <w:pPr>
        <w:pStyle w:val="ListParagraph"/>
        <w:numPr>
          <w:ilvl w:val="2"/>
          <w:numId w:val="17"/>
        </w:numPr>
        <w:tabs>
          <w:tab w:pos="829" w:val="left" w:leader="none"/>
          <w:tab w:pos="830" w:val="left" w:leader="none"/>
        </w:tabs>
        <w:spacing w:line="267" w:lineRule="exact" w:before="0" w:after="0"/>
        <w:ind w:left="830" w:right="0" w:hanging="360"/>
        <w:jc w:val="left"/>
        <w:rPr>
          <w:rFonts w:ascii="Symbol"/>
          <w:color w:val="333333"/>
          <w:sz w:val="18"/>
        </w:rPr>
      </w:pPr>
      <w:r>
        <w:rPr>
          <w:color w:val="333333"/>
          <w:sz w:val="24"/>
        </w:rPr>
        <w:t>Library Building</w:t>
      </w:r>
      <w:r>
        <w:rPr>
          <w:color w:val="333333"/>
          <w:spacing w:val="-8"/>
          <w:sz w:val="24"/>
        </w:rPr>
        <w:t> </w:t>
      </w:r>
      <w:r>
        <w:rPr>
          <w:color w:val="333333"/>
          <w:sz w:val="24"/>
        </w:rPr>
        <w:t>(x6)</w:t>
      </w:r>
    </w:p>
    <w:p>
      <w:pPr>
        <w:pStyle w:val="ListParagraph"/>
        <w:numPr>
          <w:ilvl w:val="2"/>
          <w:numId w:val="17"/>
        </w:numPr>
        <w:tabs>
          <w:tab w:pos="897" w:val="left" w:leader="none"/>
          <w:tab w:pos="898" w:val="left" w:leader="none"/>
        </w:tabs>
        <w:spacing w:line="276" w:lineRule="exact" w:before="0" w:after="0"/>
        <w:ind w:left="897" w:right="0" w:hanging="427"/>
        <w:jc w:val="left"/>
        <w:rPr>
          <w:rFonts w:ascii="Symbol"/>
          <w:color w:val="333333"/>
          <w:sz w:val="18"/>
        </w:rPr>
      </w:pPr>
      <w:r>
        <w:rPr>
          <w:color w:val="333333"/>
          <w:sz w:val="24"/>
        </w:rPr>
        <w:t>Museum</w:t>
      </w:r>
    </w:p>
    <w:p>
      <w:pPr>
        <w:pStyle w:val="ListParagraph"/>
        <w:numPr>
          <w:ilvl w:val="2"/>
          <w:numId w:val="17"/>
        </w:numPr>
        <w:tabs>
          <w:tab w:pos="829" w:val="left" w:leader="none"/>
          <w:tab w:pos="830" w:val="left" w:leader="none"/>
        </w:tabs>
        <w:spacing w:line="276" w:lineRule="exact" w:before="0" w:after="0"/>
        <w:ind w:left="830" w:right="0" w:hanging="360"/>
        <w:jc w:val="left"/>
        <w:rPr>
          <w:rFonts w:ascii="Symbol"/>
          <w:color w:val="333333"/>
          <w:sz w:val="18"/>
        </w:rPr>
      </w:pPr>
      <w:r>
        <w:rPr>
          <w:color w:val="333333"/>
          <w:sz w:val="24"/>
        </w:rPr>
        <w:t>Multi-purpose - exhibition arena</w:t>
      </w:r>
      <w:r>
        <w:rPr>
          <w:color w:val="333333"/>
          <w:spacing w:val="-12"/>
          <w:sz w:val="24"/>
        </w:rPr>
        <w:t> </w:t>
      </w:r>
      <w:r>
        <w:rPr>
          <w:color w:val="333333"/>
          <w:sz w:val="24"/>
        </w:rPr>
        <w:t>also</w:t>
      </w:r>
    </w:p>
    <w:p>
      <w:pPr>
        <w:pStyle w:val="ListParagraph"/>
        <w:numPr>
          <w:ilvl w:val="2"/>
          <w:numId w:val="17"/>
        </w:numPr>
        <w:tabs>
          <w:tab w:pos="829" w:val="left" w:leader="none"/>
          <w:tab w:pos="830" w:val="left" w:leader="none"/>
        </w:tabs>
        <w:spacing w:line="277" w:lineRule="exact" w:before="0" w:after="0"/>
        <w:ind w:left="830" w:right="0" w:hanging="360"/>
        <w:jc w:val="left"/>
        <w:rPr>
          <w:rFonts w:ascii="Symbol"/>
          <w:color w:val="333333"/>
          <w:sz w:val="18"/>
        </w:rPr>
      </w:pPr>
      <w:r>
        <w:rPr>
          <w:color w:val="333333"/>
          <w:sz w:val="24"/>
        </w:rPr>
        <w:t>Orange gospel</w:t>
      </w:r>
      <w:r>
        <w:rPr>
          <w:color w:val="333333"/>
          <w:spacing w:val="-7"/>
          <w:sz w:val="24"/>
        </w:rPr>
        <w:t> </w:t>
      </w:r>
      <w:r>
        <w:rPr>
          <w:color w:val="333333"/>
          <w:sz w:val="24"/>
        </w:rPr>
        <w:t>hall</w:t>
      </w:r>
    </w:p>
    <w:p>
      <w:pPr>
        <w:pStyle w:val="ListParagraph"/>
        <w:numPr>
          <w:ilvl w:val="2"/>
          <w:numId w:val="17"/>
        </w:numPr>
        <w:tabs>
          <w:tab w:pos="829" w:val="left" w:leader="none"/>
          <w:tab w:pos="830" w:val="left" w:leader="none"/>
        </w:tabs>
        <w:spacing w:line="285" w:lineRule="exact" w:before="13" w:after="0"/>
        <w:ind w:left="830" w:right="0" w:hanging="360"/>
        <w:jc w:val="left"/>
        <w:rPr>
          <w:rFonts w:ascii="Symbol"/>
          <w:color w:val="333333"/>
          <w:sz w:val="24"/>
        </w:rPr>
      </w:pPr>
      <w:r>
        <w:rPr>
          <w:color w:val="333333"/>
          <w:sz w:val="24"/>
        </w:rPr>
        <w:t>Band</w:t>
      </w:r>
      <w:r>
        <w:rPr>
          <w:color w:val="333333"/>
          <w:spacing w:val="-4"/>
          <w:sz w:val="24"/>
        </w:rPr>
        <w:t> </w:t>
      </w:r>
      <w:r>
        <w:rPr>
          <w:color w:val="333333"/>
          <w:sz w:val="24"/>
        </w:rPr>
        <w:t>Rooms</w:t>
      </w:r>
    </w:p>
    <w:p>
      <w:pPr>
        <w:pStyle w:val="ListParagraph"/>
        <w:numPr>
          <w:ilvl w:val="2"/>
          <w:numId w:val="17"/>
        </w:numPr>
        <w:tabs>
          <w:tab w:pos="829" w:val="left" w:leader="none"/>
          <w:tab w:pos="830" w:val="left" w:leader="none"/>
        </w:tabs>
        <w:spacing w:line="267" w:lineRule="exact" w:before="0" w:after="0"/>
        <w:ind w:left="830" w:right="0" w:hanging="360"/>
        <w:jc w:val="left"/>
        <w:rPr>
          <w:rFonts w:ascii="Symbol"/>
          <w:color w:val="333333"/>
          <w:sz w:val="18"/>
        </w:rPr>
      </w:pPr>
      <w:r>
        <w:rPr>
          <w:color w:val="333333"/>
          <w:sz w:val="24"/>
        </w:rPr>
        <w:t>Scouting</w:t>
      </w:r>
      <w:r>
        <w:rPr>
          <w:color w:val="333333"/>
          <w:spacing w:val="-4"/>
          <w:sz w:val="24"/>
        </w:rPr>
        <w:t> </w:t>
      </w:r>
      <w:r>
        <w:rPr>
          <w:color w:val="333333"/>
          <w:sz w:val="24"/>
        </w:rPr>
        <w:t>Facility</w:t>
      </w:r>
    </w:p>
    <w:p>
      <w:pPr>
        <w:pStyle w:val="ListParagraph"/>
        <w:numPr>
          <w:ilvl w:val="2"/>
          <w:numId w:val="17"/>
        </w:numPr>
        <w:tabs>
          <w:tab w:pos="829" w:val="left" w:leader="none"/>
          <w:tab w:pos="830" w:val="left" w:leader="none"/>
        </w:tabs>
        <w:spacing w:line="240" w:lineRule="auto" w:before="14" w:after="0"/>
        <w:ind w:left="830" w:right="0" w:hanging="360"/>
        <w:jc w:val="left"/>
        <w:rPr>
          <w:rFonts w:ascii="Symbol"/>
          <w:sz w:val="24"/>
        </w:rPr>
      </w:pPr>
      <w:r>
        <w:rPr>
          <w:color w:val="333333"/>
          <w:sz w:val="24"/>
        </w:rPr>
        <w:t>Charity Based</w:t>
      </w:r>
      <w:r>
        <w:rPr>
          <w:color w:val="333333"/>
          <w:spacing w:val="-10"/>
          <w:sz w:val="24"/>
        </w:rPr>
        <w:t> </w:t>
      </w:r>
      <w:r>
        <w:rPr>
          <w:color w:val="333333"/>
          <w:sz w:val="24"/>
        </w:rPr>
        <w:t>Organisation</w:t>
      </w:r>
    </w:p>
    <w:p>
      <w:pPr>
        <w:pStyle w:val="BodyText"/>
        <w:spacing w:before="3"/>
        <w:rPr>
          <w:sz w:val="34"/>
        </w:rPr>
      </w:pPr>
    </w:p>
    <w:p>
      <w:pPr>
        <w:pStyle w:val="Heading3"/>
        <w:rPr>
          <w:u w:val="none"/>
        </w:rPr>
      </w:pPr>
      <w:r>
        <w:rPr>
          <w:u w:val="thick"/>
        </w:rPr>
        <w:t>Appendix 5: ‘Other’ line markings for sporting activities (Question 2.2)</w:t>
      </w:r>
    </w:p>
    <w:p>
      <w:pPr>
        <w:pStyle w:val="ListParagraph"/>
        <w:numPr>
          <w:ilvl w:val="2"/>
          <w:numId w:val="17"/>
        </w:numPr>
        <w:tabs>
          <w:tab w:pos="897" w:val="left" w:leader="none"/>
          <w:tab w:pos="898" w:val="left" w:leader="none"/>
        </w:tabs>
        <w:spacing w:line="295" w:lineRule="exact" w:before="153" w:after="0"/>
        <w:ind w:left="897" w:right="0" w:hanging="360"/>
        <w:jc w:val="left"/>
        <w:rPr>
          <w:rFonts w:ascii="Symbol"/>
          <w:color w:val="333333"/>
          <w:sz w:val="24"/>
        </w:rPr>
      </w:pPr>
      <w:r>
        <w:rPr>
          <w:color w:val="333333"/>
          <w:sz w:val="24"/>
        </w:rPr>
        <w:t>Golf</w:t>
      </w:r>
    </w:p>
    <w:p>
      <w:pPr>
        <w:pStyle w:val="ListParagraph"/>
        <w:numPr>
          <w:ilvl w:val="2"/>
          <w:numId w:val="17"/>
        </w:numPr>
        <w:tabs>
          <w:tab w:pos="897" w:val="left" w:leader="none"/>
          <w:tab w:pos="898" w:val="left" w:leader="none"/>
        </w:tabs>
        <w:spacing w:line="292" w:lineRule="exact" w:before="0" w:after="0"/>
        <w:ind w:left="897" w:right="0" w:hanging="360"/>
        <w:jc w:val="left"/>
        <w:rPr>
          <w:rFonts w:ascii="Symbol"/>
          <w:color w:val="333333"/>
          <w:sz w:val="24"/>
        </w:rPr>
      </w:pPr>
      <w:r>
        <w:rPr>
          <w:color w:val="333333"/>
          <w:sz w:val="24"/>
        </w:rPr>
        <w:t>Rugby</w:t>
      </w:r>
      <w:r>
        <w:rPr>
          <w:color w:val="333333"/>
          <w:spacing w:val="-4"/>
          <w:sz w:val="24"/>
        </w:rPr>
        <w:t> </w:t>
      </w:r>
      <w:r>
        <w:rPr>
          <w:color w:val="333333"/>
          <w:sz w:val="24"/>
        </w:rPr>
        <w:t>football</w:t>
      </w:r>
    </w:p>
    <w:p>
      <w:pPr>
        <w:pStyle w:val="ListParagraph"/>
        <w:numPr>
          <w:ilvl w:val="2"/>
          <w:numId w:val="17"/>
        </w:numPr>
        <w:tabs>
          <w:tab w:pos="897" w:val="left" w:leader="none"/>
          <w:tab w:pos="898" w:val="left" w:leader="none"/>
        </w:tabs>
        <w:spacing w:line="292" w:lineRule="exact" w:before="0" w:after="0"/>
        <w:ind w:left="897" w:right="0" w:hanging="360"/>
        <w:jc w:val="left"/>
        <w:rPr>
          <w:rFonts w:ascii="Symbol"/>
          <w:color w:val="333333"/>
          <w:sz w:val="24"/>
        </w:rPr>
      </w:pPr>
      <w:r>
        <w:rPr>
          <w:color w:val="333333"/>
          <w:sz w:val="24"/>
        </w:rPr>
        <w:t>Bowling</w:t>
      </w:r>
      <w:r>
        <w:rPr>
          <w:color w:val="333333"/>
          <w:spacing w:val="-8"/>
          <w:sz w:val="24"/>
        </w:rPr>
        <w:t> </w:t>
      </w:r>
      <w:r>
        <w:rPr>
          <w:color w:val="333333"/>
          <w:sz w:val="24"/>
        </w:rPr>
        <w:t>(x2)</w:t>
      </w:r>
    </w:p>
    <w:p>
      <w:pPr>
        <w:pStyle w:val="ListParagraph"/>
        <w:numPr>
          <w:ilvl w:val="2"/>
          <w:numId w:val="17"/>
        </w:numPr>
        <w:tabs>
          <w:tab w:pos="897" w:val="left" w:leader="none"/>
          <w:tab w:pos="898" w:val="left" w:leader="none"/>
        </w:tabs>
        <w:spacing w:line="293" w:lineRule="exact" w:before="0" w:after="0"/>
        <w:ind w:left="897" w:right="0" w:hanging="360"/>
        <w:jc w:val="left"/>
        <w:rPr>
          <w:rFonts w:ascii="Symbol"/>
          <w:color w:val="333333"/>
          <w:sz w:val="24"/>
        </w:rPr>
      </w:pPr>
      <w:r>
        <w:rPr>
          <w:color w:val="333333"/>
          <w:sz w:val="24"/>
        </w:rPr>
        <w:t>darts, juke box, table</w:t>
      </w:r>
      <w:r>
        <w:rPr>
          <w:color w:val="333333"/>
          <w:spacing w:val="-11"/>
          <w:sz w:val="24"/>
        </w:rPr>
        <w:t> </w:t>
      </w:r>
      <w:r>
        <w:rPr>
          <w:color w:val="333333"/>
          <w:sz w:val="24"/>
        </w:rPr>
        <w:t>tennis</w:t>
      </w:r>
    </w:p>
    <w:p>
      <w:pPr>
        <w:pStyle w:val="ListParagraph"/>
        <w:numPr>
          <w:ilvl w:val="2"/>
          <w:numId w:val="17"/>
        </w:numPr>
        <w:tabs>
          <w:tab w:pos="897" w:val="left" w:leader="none"/>
          <w:tab w:pos="898" w:val="left" w:leader="none"/>
        </w:tabs>
        <w:spacing w:line="293" w:lineRule="exact" w:before="0" w:after="0"/>
        <w:ind w:left="897" w:right="0" w:hanging="360"/>
        <w:jc w:val="left"/>
        <w:rPr>
          <w:rFonts w:ascii="Symbol"/>
          <w:color w:val="333333"/>
          <w:sz w:val="24"/>
        </w:rPr>
      </w:pPr>
      <w:r>
        <w:rPr>
          <w:color w:val="333333"/>
          <w:sz w:val="24"/>
        </w:rPr>
        <w:t>Additional Sports</w:t>
      </w:r>
      <w:r>
        <w:rPr>
          <w:color w:val="333333"/>
          <w:spacing w:val="-9"/>
          <w:sz w:val="24"/>
        </w:rPr>
        <w:t> </w:t>
      </w:r>
      <w:r>
        <w:rPr>
          <w:color w:val="333333"/>
          <w:sz w:val="24"/>
        </w:rPr>
        <w:t>Facilitated</w:t>
      </w:r>
    </w:p>
    <w:p>
      <w:pPr>
        <w:pStyle w:val="ListParagraph"/>
        <w:numPr>
          <w:ilvl w:val="2"/>
          <w:numId w:val="17"/>
        </w:numPr>
        <w:tabs>
          <w:tab w:pos="897" w:val="left" w:leader="none"/>
          <w:tab w:pos="898" w:val="left" w:leader="none"/>
        </w:tabs>
        <w:spacing w:line="292" w:lineRule="exact" w:before="0" w:after="0"/>
        <w:ind w:left="897" w:right="0" w:hanging="360"/>
        <w:jc w:val="left"/>
        <w:rPr>
          <w:rFonts w:ascii="Symbol"/>
          <w:color w:val="333333"/>
          <w:sz w:val="24"/>
        </w:rPr>
      </w:pPr>
      <w:r>
        <w:rPr>
          <w:color w:val="333333"/>
          <w:sz w:val="24"/>
        </w:rPr>
        <w:t>Table</w:t>
      </w:r>
      <w:r>
        <w:rPr>
          <w:color w:val="333333"/>
          <w:spacing w:val="-4"/>
          <w:sz w:val="24"/>
        </w:rPr>
        <w:t> </w:t>
      </w:r>
      <w:r>
        <w:rPr>
          <w:color w:val="333333"/>
          <w:sz w:val="24"/>
        </w:rPr>
        <w:t>tennis</w:t>
      </w:r>
    </w:p>
    <w:p>
      <w:pPr>
        <w:pStyle w:val="ListParagraph"/>
        <w:numPr>
          <w:ilvl w:val="2"/>
          <w:numId w:val="17"/>
        </w:numPr>
        <w:tabs>
          <w:tab w:pos="897" w:val="left" w:leader="none"/>
          <w:tab w:pos="898" w:val="left" w:leader="none"/>
        </w:tabs>
        <w:spacing w:line="292" w:lineRule="exact" w:before="0" w:after="0"/>
        <w:ind w:left="897" w:right="0" w:hanging="360"/>
        <w:jc w:val="left"/>
        <w:rPr>
          <w:rFonts w:ascii="Symbol"/>
          <w:color w:val="333333"/>
          <w:sz w:val="24"/>
        </w:rPr>
      </w:pPr>
      <w:r>
        <w:rPr>
          <w:color w:val="333333"/>
          <w:sz w:val="24"/>
        </w:rPr>
        <w:t>Volleyball</w:t>
      </w:r>
    </w:p>
    <w:p>
      <w:pPr>
        <w:pStyle w:val="ListParagraph"/>
        <w:numPr>
          <w:ilvl w:val="2"/>
          <w:numId w:val="17"/>
        </w:numPr>
        <w:tabs>
          <w:tab w:pos="897" w:val="left" w:leader="none"/>
          <w:tab w:pos="898" w:val="left" w:leader="none"/>
        </w:tabs>
        <w:spacing w:line="293" w:lineRule="exact" w:before="0" w:after="0"/>
        <w:ind w:left="897" w:right="0" w:hanging="360"/>
        <w:jc w:val="left"/>
        <w:rPr>
          <w:rFonts w:ascii="Symbol"/>
          <w:color w:val="333333"/>
          <w:sz w:val="24"/>
        </w:rPr>
      </w:pPr>
      <w:r>
        <w:rPr>
          <w:color w:val="333333"/>
          <w:sz w:val="24"/>
        </w:rPr>
        <w:t>Football</w:t>
      </w:r>
    </w:p>
    <w:p>
      <w:pPr>
        <w:pStyle w:val="ListParagraph"/>
        <w:numPr>
          <w:ilvl w:val="2"/>
          <w:numId w:val="17"/>
        </w:numPr>
        <w:tabs>
          <w:tab w:pos="897" w:val="left" w:leader="none"/>
          <w:tab w:pos="898" w:val="left" w:leader="none"/>
        </w:tabs>
        <w:spacing w:line="293" w:lineRule="exact" w:before="0" w:after="0"/>
        <w:ind w:left="897" w:right="0" w:hanging="360"/>
        <w:jc w:val="left"/>
        <w:rPr>
          <w:rFonts w:ascii="Symbol"/>
          <w:color w:val="333333"/>
          <w:sz w:val="24"/>
        </w:rPr>
      </w:pPr>
      <w:r>
        <w:rPr>
          <w:color w:val="333333"/>
          <w:sz w:val="24"/>
        </w:rPr>
        <w:t>air hockey, table tennis,</w:t>
      </w:r>
      <w:r>
        <w:rPr>
          <w:color w:val="333333"/>
          <w:spacing w:val="-13"/>
          <w:sz w:val="24"/>
        </w:rPr>
        <w:t> </w:t>
      </w:r>
      <w:r>
        <w:rPr>
          <w:color w:val="333333"/>
          <w:sz w:val="24"/>
        </w:rPr>
        <w:t>softball</w:t>
      </w:r>
    </w:p>
    <w:p>
      <w:pPr>
        <w:pStyle w:val="ListParagraph"/>
        <w:numPr>
          <w:ilvl w:val="2"/>
          <w:numId w:val="17"/>
        </w:numPr>
        <w:tabs>
          <w:tab w:pos="897" w:val="left" w:leader="none"/>
          <w:tab w:pos="898" w:val="left" w:leader="none"/>
        </w:tabs>
        <w:spacing w:line="292" w:lineRule="exact" w:before="0" w:after="0"/>
        <w:ind w:left="897" w:right="0" w:hanging="360"/>
        <w:jc w:val="left"/>
        <w:rPr>
          <w:rFonts w:ascii="Symbol"/>
          <w:color w:val="333333"/>
          <w:sz w:val="24"/>
        </w:rPr>
      </w:pPr>
      <w:r>
        <w:rPr>
          <w:color w:val="333333"/>
          <w:sz w:val="24"/>
        </w:rPr>
        <w:t>GAA</w:t>
      </w:r>
      <w:r>
        <w:rPr>
          <w:color w:val="333333"/>
          <w:spacing w:val="-3"/>
          <w:sz w:val="24"/>
        </w:rPr>
        <w:t> </w:t>
      </w:r>
      <w:r>
        <w:rPr>
          <w:color w:val="333333"/>
          <w:sz w:val="24"/>
        </w:rPr>
        <w:t>games</w:t>
      </w:r>
    </w:p>
    <w:p>
      <w:pPr>
        <w:pStyle w:val="ListParagraph"/>
        <w:numPr>
          <w:ilvl w:val="2"/>
          <w:numId w:val="17"/>
        </w:numPr>
        <w:tabs>
          <w:tab w:pos="897" w:val="left" w:leader="none"/>
          <w:tab w:pos="898" w:val="left" w:leader="none"/>
        </w:tabs>
        <w:spacing w:line="294" w:lineRule="exact" w:before="0" w:after="0"/>
        <w:ind w:left="897" w:right="0" w:hanging="360"/>
        <w:jc w:val="left"/>
        <w:rPr>
          <w:rFonts w:ascii="Symbol"/>
          <w:color w:val="333333"/>
          <w:sz w:val="24"/>
        </w:rPr>
      </w:pPr>
      <w:r>
        <w:rPr>
          <w:color w:val="333333"/>
          <w:sz w:val="24"/>
        </w:rPr>
        <w:t>Handball, GAA</w:t>
      </w:r>
      <w:r>
        <w:rPr>
          <w:color w:val="333333"/>
          <w:spacing w:val="-4"/>
          <w:sz w:val="24"/>
        </w:rPr>
        <w:t> </w:t>
      </w:r>
      <w:r>
        <w:rPr>
          <w:color w:val="333333"/>
          <w:sz w:val="24"/>
        </w:rPr>
        <w:t>sports</w:t>
      </w:r>
    </w:p>
    <w:p>
      <w:pPr>
        <w:pStyle w:val="BodyText"/>
        <w:spacing w:before="3"/>
        <w:rPr>
          <w:sz w:val="34"/>
        </w:rPr>
      </w:pPr>
    </w:p>
    <w:p>
      <w:pPr>
        <w:pStyle w:val="Heading3"/>
        <w:rPr>
          <w:u w:val="none"/>
        </w:rPr>
      </w:pPr>
      <w:r>
        <w:rPr>
          <w:u w:val="thick"/>
        </w:rPr>
        <w:t>Appendix 6: ‘Other’ types of outdoor leisure/sporting facilities (Question 2.3)</w:t>
      </w:r>
    </w:p>
    <w:p>
      <w:pPr>
        <w:pStyle w:val="ListParagraph"/>
        <w:numPr>
          <w:ilvl w:val="2"/>
          <w:numId w:val="17"/>
        </w:numPr>
        <w:tabs>
          <w:tab w:pos="829" w:val="left" w:leader="none"/>
          <w:tab w:pos="830" w:val="left" w:leader="none"/>
        </w:tabs>
        <w:spacing w:line="295" w:lineRule="exact" w:before="153" w:after="0"/>
        <w:ind w:left="830" w:right="0" w:hanging="360"/>
        <w:jc w:val="left"/>
        <w:rPr>
          <w:rFonts w:ascii="Symbol"/>
          <w:sz w:val="24"/>
        </w:rPr>
      </w:pPr>
      <w:r>
        <w:rPr>
          <w:sz w:val="24"/>
        </w:rPr>
        <w:t>Training</w:t>
      </w:r>
      <w:r>
        <w:rPr>
          <w:spacing w:val="-5"/>
          <w:sz w:val="24"/>
        </w:rPr>
        <w:t> </w:t>
      </w:r>
      <w:r>
        <w:rPr>
          <w:sz w:val="24"/>
        </w:rPr>
        <w:t>Pitch</w:t>
      </w:r>
    </w:p>
    <w:p>
      <w:pPr>
        <w:pStyle w:val="ListParagraph"/>
        <w:numPr>
          <w:ilvl w:val="2"/>
          <w:numId w:val="17"/>
        </w:numPr>
        <w:tabs>
          <w:tab w:pos="829" w:val="left" w:leader="none"/>
          <w:tab w:pos="830" w:val="left" w:leader="none"/>
        </w:tabs>
        <w:spacing w:line="292" w:lineRule="exact" w:before="0" w:after="0"/>
        <w:ind w:left="830" w:right="0" w:hanging="360"/>
        <w:jc w:val="left"/>
        <w:rPr>
          <w:rFonts w:ascii="Symbol"/>
          <w:sz w:val="24"/>
        </w:rPr>
      </w:pPr>
      <w:r>
        <w:rPr>
          <w:sz w:val="24"/>
        </w:rPr>
        <w:t>Sand area which can be used for all weather</w:t>
      </w:r>
      <w:r>
        <w:rPr>
          <w:spacing w:val="-19"/>
          <w:sz w:val="24"/>
        </w:rPr>
        <w:t> </w:t>
      </w:r>
      <w:r>
        <w:rPr>
          <w:sz w:val="24"/>
        </w:rPr>
        <w:t>training</w:t>
      </w:r>
    </w:p>
    <w:p>
      <w:pPr>
        <w:pStyle w:val="ListParagraph"/>
        <w:numPr>
          <w:ilvl w:val="2"/>
          <w:numId w:val="17"/>
        </w:numPr>
        <w:tabs>
          <w:tab w:pos="829" w:val="left" w:leader="none"/>
          <w:tab w:pos="830" w:val="left" w:leader="none"/>
        </w:tabs>
        <w:spacing w:line="292" w:lineRule="exact" w:before="0" w:after="0"/>
        <w:ind w:left="830" w:right="0" w:hanging="360"/>
        <w:jc w:val="left"/>
        <w:rPr>
          <w:rFonts w:ascii="Symbol"/>
          <w:sz w:val="24"/>
        </w:rPr>
      </w:pPr>
      <w:r>
        <w:rPr>
          <w:sz w:val="24"/>
        </w:rPr>
        <w:t>Baseball and</w:t>
      </w:r>
      <w:r>
        <w:rPr>
          <w:spacing w:val="-6"/>
          <w:sz w:val="24"/>
        </w:rPr>
        <w:t> </w:t>
      </w:r>
      <w:r>
        <w:rPr>
          <w:sz w:val="24"/>
        </w:rPr>
        <w:t>cricket</w:t>
      </w:r>
    </w:p>
    <w:p>
      <w:pPr>
        <w:pStyle w:val="ListParagraph"/>
        <w:numPr>
          <w:ilvl w:val="2"/>
          <w:numId w:val="17"/>
        </w:numPr>
        <w:tabs>
          <w:tab w:pos="829" w:val="left" w:leader="none"/>
          <w:tab w:pos="830" w:val="left" w:leader="none"/>
        </w:tabs>
        <w:spacing w:line="293" w:lineRule="exact" w:before="0" w:after="0"/>
        <w:ind w:left="830" w:right="0" w:hanging="360"/>
        <w:jc w:val="left"/>
        <w:rPr>
          <w:rFonts w:ascii="Symbol"/>
          <w:sz w:val="24"/>
        </w:rPr>
      </w:pPr>
      <w:r>
        <w:rPr>
          <w:sz w:val="24"/>
        </w:rPr>
        <w:t>Walking &amp; Gardening</w:t>
      </w:r>
      <w:r>
        <w:rPr>
          <w:spacing w:val="-8"/>
          <w:sz w:val="24"/>
        </w:rPr>
        <w:t> </w:t>
      </w:r>
      <w:r>
        <w:rPr>
          <w:sz w:val="24"/>
        </w:rPr>
        <w:t>Facilities</w:t>
      </w:r>
    </w:p>
    <w:p>
      <w:pPr>
        <w:pStyle w:val="ListParagraph"/>
        <w:numPr>
          <w:ilvl w:val="2"/>
          <w:numId w:val="17"/>
        </w:numPr>
        <w:tabs>
          <w:tab w:pos="829" w:val="left" w:leader="none"/>
          <w:tab w:pos="830" w:val="left" w:leader="none"/>
        </w:tabs>
        <w:spacing w:line="293" w:lineRule="exact" w:before="0" w:after="0"/>
        <w:ind w:left="830" w:right="0" w:hanging="360"/>
        <w:jc w:val="left"/>
        <w:rPr>
          <w:rFonts w:ascii="Symbol"/>
          <w:sz w:val="24"/>
        </w:rPr>
      </w:pPr>
      <w:r>
        <w:rPr>
          <w:sz w:val="24"/>
        </w:rPr>
        <w:t>Outdoor Bowling</w:t>
      </w:r>
      <w:r>
        <w:rPr>
          <w:spacing w:val="-9"/>
          <w:sz w:val="24"/>
        </w:rPr>
        <w:t> </w:t>
      </w:r>
      <w:r>
        <w:rPr>
          <w:sz w:val="24"/>
        </w:rPr>
        <w:t>Green</w:t>
      </w:r>
    </w:p>
    <w:p>
      <w:pPr>
        <w:pStyle w:val="ListParagraph"/>
        <w:numPr>
          <w:ilvl w:val="2"/>
          <w:numId w:val="17"/>
        </w:numPr>
        <w:tabs>
          <w:tab w:pos="829" w:val="left" w:leader="none"/>
          <w:tab w:pos="830" w:val="left" w:leader="none"/>
        </w:tabs>
        <w:spacing w:line="292" w:lineRule="exact" w:before="0" w:after="0"/>
        <w:ind w:left="830" w:right="0" w:hanging="360"/>
        <w:jc w:val="left"/>
        <w:rPr>
          <w:rFonts w:ascii="Symbol"/>
          <w:sz w:val="24"/>
        </w:rPr>
      </w:pPr>
      <w:r>
        <w:rPr>
          <w:sz w:val="24"/>
        </w:rPr>
        <w:t>Handball Wall &amp; Hurling</w:t>
      </w:r>
      <w:r>
        <w:rPr>
          <w:spacing w:val="-7"/>
          <w:sz w:val="24"/>
        </w:rPr>
        <w:t> </w:t>
      </w:r>
      <w:r>
        <w:rPr>
          <w:sz w:val="24"/>
        </w:rPr>
        <w:t>Wall</w:t>
      </w:r>
    </w:p>
    <w:p>
      <w:pPr>
        <w:pStyle w:val="ListParagraph"/>
        <w:numPr>
          <w:ilvl w:val="2"/>
          <w:numId w:val="17"/>
        </w:numPr>
        <w:tabs>
          <w:tab w:pos="829" w:val="left" w:leader="none"/>
          <w:tab w:pos="830" w:val="left" w:leader="none"/>
        </w:tabs>
        <w:spacing w:line="292" w:lineRule="exact" w:before="0" w:after="0"/>
        <w:ind w:left="830" w:right="0" w:hanging="360"/>
        <w:jc w:val="left"/>
        <w:rPr>
          <w:rFonts w:ascii="Symbol"/>
          <w:sz w:val="24"/>
        </w:rPr>
      </w:pPr>
      <w:r>
        <w:rPr>
          <w:sz w:val="24"/>
        </w:rPr>
        <w:t>Recreation Garden &amp; Outdoor Adults</w:t>
      </w:r>
      <w:r>
        <w:rPr>
          <w:spacing w:val="-14"/>
          <w:sz w:val="24"/>
        </w:rPr>
        <w:t> </w:t>
      </w:r>
      <w:r>
        <w:rPr>
          <w:sz w:val="24"/>
        </w:rPr>
        <w:t>Gym</w:t>
      </w:r>
    </w:p>
    <w:p>
      <w:pPr>
        <w:pStyle w:val="ListParagraph"/>
        <w:numPr>
          <w:ilvl w:val="2"/>
          <w:numId w:val="17"/>
        </w:numPr>
        <w:tabs>
          <w:tab w:pos="829" w:val="left" w:leader="none"/>
          <w:tab w:pos="830" w:val="left" w:leader="none"/>
        </w:tabs>
        <w:spacing w:line="293" w:lineRule="exact" w:before="0" w:after="0"/>
        <w:ind w:left="830" w:right="0" w:hanging="360"/>
        <w:jc w:val="left"/>
        <w:rPr>
          <w:rFonts w:ascii="Symbol"/>
          <w:sz w:val="24"/>
        </w:rPr>
      </w:pPr>
      <w:r>
        <w:rPr>
          <w:sz w:val="24"/>
        </w:rPr>
        <w:t>Astro-Turf</w:t>
      </w:r>
    </w:p>
    <w:p>
      <w:pPr>
        <w:pStyle w:val="ListParagraph"/>
        <w:numPr>
          <w:ilvl w:val="2"/>
          <w:numId w:val="17"/>
        </w:numPr>
        <w:tabs>
          <w:tab w:pos="829" w:val="left" w:leader="none"/>
          <w:tab w:pos="830" w:val="left" w:leader="none"/>
        </w:tabs>
        <w:spacing w:line="295" w:lineRule="exact" w:before="0" w:after="0"/>
        <w:ind w:left="830" w:right="0" w:hanging="360"/>
        <w:jc w:val="left"/>
        <w:rPr>
          <w:rFonts w:ascii="Symbol"/>
          <w:sz w:val="24"/>
        </w:rPr>
      </w:pPr>
      <w:r>
        <w:rPr>
          <w:sz w:val="24"/>
        </w:rPr>
        <w:t>Outdoor</w:t>
      </w:r>
      <w:r>
        <w:rPr>
          <w:spacing w:val="-4"/>
          <w:sz w:val="24"/>
        </w:rPr>
        <w:t> </w:t>
      </w:r>
      <w:r>
        <w:rPr>
          <w:sz w:val="24"/>
        </w:rPr>
        <w:t>Gym</w:t>
      </w:r>
    </w:p>
    <w:p>
      <w:pPr>
        <w:pStyle w:val="BodyText"/>
        <w:spacing w:before="10"/>
        <w:rPr>
          <w:sz w:val="21"/>
        </w:rPr>
      </w:pPr>
    </w:p>
    <w:p>
      <w:pPr>
        <w:pStyle w:val="Heading3"/>
        <w:spacing w:before="1"/>
        <w:rPr>
          <w:u w:val="none"/>
        </w:rPr>
      </w:pPr>
      <w:r>
        <w:rPr>
          <w:color w:val="333333"/>
          <w:u w:val="thick" w:color="333333"/>
        </w:rPr>
        <w:t>Appendix 7: ‘Other’ Indoor Facilities. (Question 2.4)</w:t>
      </w:r>
    </w:p>
    <w:p>
      <w:pPr>
        <w:pStyle w:val="BodyText"/>
        <w:spacing w:before="5"/>
        <w:rPr>
          <w:b/>
          <w:sz w:val="25"/>
        </w:rPr>
      </w:pPr>
    </w:p>
    <w:p>
      <w:pPr>
        <w:pStyle w:val="ListParagraph"/>
        <w:numPr>
          <w:ilvl w:val="2"/>
          <w:numId w:val="17"/>
        </w:numPr>
        <w:tabs>
          <w:tab w:pos="829" w:val="left" w:leader="none"/>
          <w:tab w:pos="830" w:val="left" w:leader="none"/>
        </w:tabs>
        <w:spacing w:line="295" w:lineRule="exact" w:before="0" w:after="0"/>
        <w:ind w:left="830" w:right="0" w:hanging="360"/>
        <w:jc w:val="left"/>
        <w:rPr>
          <w:rFonts w:ascii="Symbol"/>
          <w:color w:val="333333"/>
          <w:sz w:val="24"/>
        </w:rPr>
      </w:pPr>
      <w:r>
        <w:rPr>
          <w:color w:val="333333"/>
          <w:sz w:val="24"/>
        </w:rPr>
        <w:t>Coffee</w:t>
      </w:r>
      <w:r>
        <w:rPr>
          <w:color w:val="333333"/>
          <w:spacing w:val="-3"/>
          <w:sz w:val="24"/>
        </w:rPr>
        <w:t> </w:t>
      </w:r>
      <w:r>
        <w:rPr>
          <w:color w:val="333333"/>
          <w:sz w:val="24"/>
        </w:rPr>
        <w:t>shop</w:t>
      </w:r>
    </w:p>
    <w:p>
      <w:pPr>
        <w:pStyle w:val="ListParagraph"/>
        <w:numPr>
          <w:ilvl w:val="2"/>
          <w:numId w:val="17"/>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Soundproof</w:t>
      </w:r>
      <w:r>
        <w:rPr>
          <w:color w:val="333333"/>
          <w:spacing w:val="-8"/>
          <w:sz w:val="24"/>
        </w:rPr>
        <w:t> </w:t>
      </w:r>
      <w:r>
        <w:rPr>
          <w:color w:val="333333"/>
          <w:sz w:val="24"/>
        </w:rPr>
        <w:t>studio</w:t>
      </w:r>
    </w:p>
    <w:p>
      <w:pPr>
        <w:pStyle w:val="ListParagraph"/>
        <w:numPr>
          <w:ilvl w:val="2"/>
          <w:numId w:val="17"/>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Moveable</w:t>
      </w:r>
      <w:r>
        <w:rPr>
          <w:color w:val="333333"/>
          <w:spacing w:val="-6"/>
          <w:sz w:val="24"/>
        </w:rPr>
        <w:t> </w:t>
      </w:r>
      <w:r>
        <w:rPr>
          <w:color w:val="333333"/>
          <w:sz w:val="24"/>
        </w:rPr>
        <w:t>Stage</w:t>
      </w:r>
    </w:p>
    <w:p>
      <w:pPr>
        <w:pStyle w:val="ListParagraph"/>
        <w:numPr>
          <w:ilvl w:val="2"/>
          <w:numId w:val="17"/>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Stage</w:t>
      </w:r>
      <w:r>
        <w:rPr>
          <w:color w:val="333333"/>
          <w:spacing w:val="-9"/>
          <w:sz w:val="24"/>
        </w:rPr>
        <w:t> </w:t>
      </w:r>
      <w:r>
        <w:rPr>
          <w:color w:val="333333"/>
          <w:sz w:val="24"/>
        </w:rPr>
        <w:t>Lighting/Sound</w:t>
      </w:r>
    </w:p>
    <w:p>
      <w:pPr>
        <w:pStyle w:val="ListParagraph"/>
        <w:numPr>
          <w:ilvl w:val="2"/>
          <w:numId w:val="17"/>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Shop/tourist information</w:t>
      </w:r>
      <w:r>
        <w:rPr>
          <w:color w:val="333333"/>
          <w:spacing w:val="-13"/>
          <w:sz w:val="24"/>
        </w:rPr>
        <w:t> </w:t>
      </w:r>
      <w:r>
        <w:rPr>
          <w:color w:val="333333"/>
          <w:sz w:val="24"/>
        </w:rPr>
        <w:t>office</w:t>
      </w:r>
    </w:p>
    <w:p>
      <w:pPr>
        <w:pStyle w:val="ListParagraph"/>
        <w:numPr>
          <w:ilvl w:val="2"/>
          <w:numId w:val="17"/>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Reception, office &amp; 3 counselling rooms &amp; drop in</w:t>
      </w:r>
      <w:r>
        <w:rPr>
          <w:color w:val="333333"/>
          <w:spacing w:val="-16"/>
          <w:sz w:val="24"/>
        </w:rPr>
        <w:t> </w:t>
      </w:r>
      <w:r>
        <w:rPr>
          <w:color w:val="333333"/>
          <w:sz w:val="24"/>
        </w:rPr>
        <w:t>area</w:t>
      </w:r>
    </w:p>
    <w:p>
      <w:pPr>
        <w:pStyle w:val="ListParagraph"/>
        <w:numPr>
          <w:ilvl w:val="2"/>
          <w:numId w:val="17"/>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Gallery</w:t>
      </w:r>
    </w:p>
    <w:p>
      <w:pPr>
        <w:pStyle w:val="ListParagraph"/>
        <w:numPr>
          <w:ilvl w:val="2"/>
          <w:numId w:val="17"/>
        </w:numPr>
        <w:tabs>
          <w:tab w:pos="829" w:val="left" w:leader="none"/>
          <w:tab w:pos="830" w:val="left" w:leader="none"/>
        </w:tabs>
        <w:spacing w:line="295" w:lineRule="exact" w:before="0" w:after="0"/>
        <w:ind w:left="830" w:right="0" w:hanging="360"/>
        <w:jc w:val="left"/>
        <w:rPr>
          <w:rFonts w:ascii="Symbol"/>
          <w:color w:val="333333"/>
          <w:sz w:val="24"/>
        </w:rPr>
      </w:pPr>
      <w:r>
        <w:rPr>
          <w:color w:val="333333"/>
          <w:sz w:val="24"/>
        </w:rPr>
        <w:t>Computer suite &amp; pool</w:t>
      </w:r>
      <w:r>
        <w:rPr>
          <w:color w:val="333333"/>
          <w:spacing w:val="-8"/>
          <w:sz w:val="24"/>
        </w:rPr>
        <w:t> </w:t>
      </w:r>
      <w:r>
        <w:rPr>
          <w:color w:val="333333"/>
          <w:sz w:val="24"/>
        </w:rPr>
        <w:t>table</w:t>
      </w:r>
    </w:p>
    <w:p>
      <w:pPr>
        <w:spacing w:after="0" w:line="295" w:lineRule="exact"/>
        <w:jc w:val="left"/>
        <w:rPr>
          <w:rFonts w:ascii="Symbol"/>
          <w:sz w:val="24"/>
        </w:rPr>
        <w:sectPr>
          <w:headerReference w:type="default" r:id="rId64"/>
          <w:footerReference w:type="default" r:id="rId65"/>
          <w:pgSz w:w="11910" w:h="17340"/>
          <w:pgMar w:header="759" w:footer="0" w:top="940" w:bottom="280" w:left="1460" w:right="1500"/>
        </w:sectPr>
      </w:pPr>
    </w:p>
    <w:p>
      <w:pPr>
        <w:pStyle w:val="BodyText"/>
        <w:spacing w:before="7"/>
        <w:rPr>
          <w:sz w:val="15"/>
        </w:rPr>
      </w:pPr>
    </w:p>
    <w:p>
      <w:pPr>
        <w:pStyle w:val="Heading3"/>
        <w:spacing w:before="92"/>
        <w:rPr>
          <w:u w:val="none"/>
        </w:rPr>
      </w:pPr>
      <w:r>
        <w:rPr>
          <w:u w:val="thick"/>
        </w:rPr>
        <w:t>Appendix 8: ‘Other’ Ownership of the Facility (Question 3.2)</w:t>
      </w:r>
    </w:p>
    <w:p>
      <w:pPr>
        <w:pStyle w:val="ListParagraph"/>
        <w:numPr>
          <w:ilvl w:val="0"/>
          <w:numId w:val="19"/>
        </w:numPr>
        <w:tabs>
          <w:tab w:pos="611" w:val="left" w:leader="none"/>
          <w:tab w:pos="612" w:val="left" w:leader="none"/>
        </w:tabs>
        <w:spacing w:line="295" w:lineRule="exact" w:before="151" w:after="0"/>
        <w:ind w:left="611" w:right="0" w:hanging="360"/>
        <w:jc w:val="left"/>
        <w:rPr>
          <w:rFonts w:ascii="Symbol"/>
          <w:color w:val="333333"/>
          <w:sz w:val="24"/>
        </w:rPr>
      </w:pPr>
      <w:r>
        <w:rPr>
          <w:color w:val="333333"/>
          <w:sz w:val="24"/>
        </w:rPr>
        <w:t>Members</w:t>
      </w:r>
      <w:r>
        <w:rPr>
          <w:color w:val="333333"/>
          <w:spacing w:val="-4"/>
          <w:sz w:val="24"/>
        </w:rPr>
        <w:t> </w:t>
      </w:r>
      <w:r>
        <w:rPr>
          <w:color w:val="333333"/>
          <w:sz w:val="24"/>
        </w:rPr>
        <w:t>Club</w:t>
      </w:r>
    </w:p>
    <w:p>
      <w:pPr>
        <w:pStyle w:val="ListParagraph"/>
        <w:numPr>
          <w:ilvl w:val="0"/>
          <w:numId w:val="19"/>
        </w:numPr>
        <w:tabs>
          <w:tab w:pos="611" w:val="left" w:leader="none"/>
          <w:tab w:pos="612" w:val="left" w:leader="none"/>
        </w:tabs>
        <w:spacing w:line="293" w:lineRule="exact" w:before="0" w:after="0"/>
        <w:ind w:left="611" w:right="0" w:hanging="360"/>
        <w:jc w:val="left"/>
        <w:rPr>
          <w:rFonts w:ascii="Symbol"/>
          <w:color w:val="333333"/>
          <w:sz w:val="24"/>
        </w:rPr>
      </w:pPr>
      <w:r>
        <w:rPr>
          <w:color w:val="333333"/>
          <w:sz w:val="24"/>
        </w:rPr>
        <w:t>Trustees</w:t>
      </w:r>
      <w:r>
        <w:rPr>
          <w:color w:val="333333"/>
          <w:spacing w:val="-4"/>
          <w:sz w:val="24"/>
        </w:rPr>
        <w:t> </w:t>
      </w:r>
      <w:r>
        <w:rPr>
          <w:color w:val="333333"/>
          <w:sz w:val="24"/>
        </w:rPr>
        <w:t>(x2)</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color w:val="333333"/>
          <w:sz w:val="24"/>
        </w:rPr>
      </w:pPr>
      <w:r>
        <w:rPr>
          <w:color w:val="333333"/>
          <w:sz w:val="24"/>
        </w:rPr>
        <w:t>Privately</w:t>
      </w:r>
      <w:r>
        <w:rPr>
          <w:color w:val="333333"/>
          <w:spacing w:val="-8"/>
          <w:sz w:val="24"/>
        </w:rPr>
        <w:t> </w:t>
      </w:r>
      <w:r>
        <w:rPr>
          <w:color w:val="333333"/>
          <w:sz w:val="24"/>
        </w:rPr>
        <w:t>owned</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color w:val="333333"/>
          <w:sz w:val="24"/>
        </w:rPr>
      </w:pPr>
      <w:r>
        <w:rPr>
          <w:color w:val="333333"/>
          <w:sz w:val="24"/>
        </w:rPr>
        <w:t>Private Lease in</w:t>
      </w:r>
      <w:r>
        <w:rPr>
          <w:color w:val="333333"/>
          <w:spacing w:val="-8"/>
          <w:sz w:val="24"/>
        </w:rPr>
        <w:t> </w:t>
      </w:r>
      <w:r>
        <w:rPr>
          <w:color w:val="333333"/>
          <w:sz w:val="24"/>
        </w:rPr>
        <w:t>place</w:t>
      </w:r>
    </w:p>
    <w:p>
      <w:pPr>
        <w:pStyle w:val="ListParagraph"/>
        <w:numPr>
          <w:ilvl w:val="0"/>
          <w:numId w:val="19"/>
        </w:numPr>
        <w:tabs>
          <w:tab w:pos="611" w:val="left" w:leader="none"/>
          <w:tab w:pos="612" w:val="left" w:leader="none"/>
        </w:tabs>
        <w:spacing w:line="293" w:lineRule="exact" w:before="0" w:after="0"/>
        <w:ind w:left="611" w:right="0" w:hanging="360"/>
        <w:jc w:val="left"/>
        <w:rPr>
          <w:rFonts w:ascii="Symbol"/>
          <w:color w:val="333333"/>
          <w:sz w:val="24"/>
        </w:rPr>
      </w:pPr>
      <w:r>
        <w:rPr>
          <w:color w:val="333333"/>
          <w:sz w:val="24"/>
        </w:rPr>
        <w:t>Scouting</w:t>
      </w:r>
      <w:r>
        <w:rPr>
          <w:color w:val="333333"/>
          <w:spacing w:val="-5"/>
          <w:sz w:val="24"/>
        </w:rPr>
        <w:t> </w:t>
      </w:r>
      <w:r>
        <w:rPr>
          <w:color w:val="333333"/>
          <w:sz w:val="24"/>
        </w:rPr>
        <w:t>Ireland</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color w:val="333333"/>
          <w:sz w:val="24"/>
        </w:rPr>
      </w:pPr>
      <w:r>
        <w:rPr>
          <w:color w:val="333333"/>
          <w:sz w:val="24"/>
        </w:rPr>
        <w:t>Commercial</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color w:val="333333"/>
          <w:sz w:val="24"/>
        </w:rPr>
      </w:pPr>
      <w:r>
        <w:rPr>
          <w:color w:val="333333"/>
          <w:sz w:val="24"/>
        </w:rPr>
        <w:t>Charity</w:t>
      </w:r>
    </w:p>
    <w:p>
      <w:pPr>
        <w:pStyle w:val="ListParagraph"/>
        <w:numPr>
          <w:ilvl w:val="0"/>
          <w:numId w:val="19"/>
        </w:numPr>
        <w:tabs>
          <w:tab w:pos="611" w:val="left" w:leader="none"/>
          <w:tab w:pos="612" w:val="left" w:leader="none"/>
        </w:tabs>
        <w:spacing w:line="293" w:lineRule="exact" w:before="0" w:after="0"/>
        <w:ind w:left="611" w:right="0" w:hanging="360"/>
        <w:jc w:val="left"/>
        <w:rPr>
          <w:rFonts w:ascii="Symbol"/>
          <w:color w:val="333333"/>
          <w:sz w:val="24"/>
        </w:rPr>
      </w:pPr>
      <w:r>
        <w:rPr>
          <w:color w:val="333333"/>
          <w:sz w:val="24"/>
        </w:rPr>
        <w:t>Belturbet Orange</w:t>
      </w:r>
      <w:r>
        <w:rPr>
          <w:color w:val="333333"/>
          <w:spacing w:val="-10"/>
          <w:sz w:val="24"/>
        </w:rPr>
        <w:t> </w:t>
      </w:r>
      <w:r>
        <w:rPr>
          <w:color w:val="333333"/>
          <w:sz w:val="24"/>
        </w:rPr>
        <w:t>Order</w:t>
      </w:r>
    </w:p>
    <w:p>
      <w:pPr>
        <w:pStyle w:val="ListParagraph"/>
        <w:numPr>
          <w:ilvl w:val="0"/>
          <w:numId w:val="19"/>
        </w:numPr>
        <w:tabs>
          <w:tab w:pos="611" w:val="left" w:leader="none"/>
          <w:tab w:pos="612" w:val="left" w:leader="none"/>
        </w:tabs>
        <w:spacing w:line="295" w:lineRule="exact" w:before="0" w:after="0"/>
        <w:ind w:left="611" w:right="0" w:hanging="360"/>
        <w:jc w:val="left"/>
        <w:rPr>
          <w:rFonts w:ascii="Symbol"/>
          <w:color w:val="333333"/>
          <w:sz w:val="24"/>
        </w:rPr>
      </w:pPr>
      <w:r>
        <w:rPr>
          <w:color w:val="333333"/>
          <w:sz w:val="24"/>
        </w:rPr>
        <w:t>leased</w:t>
      </w:r>
    </w:p>
    <w:p>
      <w:pPr>
        <w:pStyle w:val="BodyText"/>
        <w:spacing w:before="2"/>
        <w:rPr>
          <w:sz w:val="22"/>
        </w:rPr>
      </w:pPr>
    </w:p>
    <w:p>
      <w:pPr>
        <w:pStyle w:val="Heading3"/>
        <w:rPr>
          <w:u w:val="none"/>
        </w:rPr>
      </w:pPr>
      <w:r>
        <w:rPr>
          <w:color w:val="333333"/>
          <w:u w:val="thick" w:color="333333"/>
        </w:rPr>
        <w:t>Appendix 9: ´Other’ Types of Managements Structures (Question 3.1)</w:t>
      </w:r>
    </w:p>
    <w:p>
      <w:pPr>
        <w:pStyle w:val="BodyText"/>
        <w:rPr>
          <w:b/>
        </w:rPr>
      </w:pPr>
    </w:p>
    <w:p>
      <w:pPr>
        <w:pStyle w:val="ListParagraph"/>
        <w:numPr>
          <w:ilvl w:val="1"/>
          <w:numId w:val="19"/>
        </w:numPr>
        <w:tabs>
          <w:tab w:pos="829" w:val="left" w:leader="none"/>
          <w:tab w:pos="830" w:val="left" w:leader="none"/>
        </w:tabs>
        <w:spacing w:line="296" w:lineRule="exact" w:before="0" w:after="0"/>
        <w:ind w:left="830" w:right="0" w:hanging="360"/>
        <w:jc w:val="left"/>
        <w:rPr>
          <w:rFonts w:ascii="Symbol"/>
          <w:color w:val="333333"/>
          <w:sz w:val="24"/>
        </w:rPr>
      </w:pPr>
      <w:r>
        <w:rPr>
          <w:color w:val="333333"/>
          <w:sz w:val="24"/>
        </w:rPr>
        <w:t>Cavan County Council</w:t>
      </w:r>
      <w:r>
        <w:rPr>
          <w:color w:val="333333"/>
          <w:spacing w:val="-10"/>
          <w:sz w:val="24"/>
        </w:rPr>
        <w:t> </w:t>
      </w:r>
      <w:r>
        <w:rPr>
          <w:color w:val="333333"/>
          <w:sz w:val="24"/>
        </w:rPr>
        <w:t>(x5)</w:t>
      </w:r>
    </w:p>
    <w:p>
      <w:pPr>
        <w:pStyle w:val="ListParagraph"/>
        <w:numPr>
          <w:ilvl w:val="1"/>
          <w:numId w:val="19"/>
        </w:numPr>
        <w:tabs>
          <w:tab w:pos="829" w:val="left" w:leader="none"/>
          <w:tab w:pos="830" w:val="left" w:leader="none"/>
        </w:tabs>
        <w:spacing w:line="276" w:lineRule="exact" w:before="0" w:after="0"/>
        <w:ind w:left="830" w:right="0" w:hanging="360"/>
        <w:jc w:val="left"/>
        <w:rPr>
          <w:rFonts w:ascii="Symbol"/>
          <w:color w:val="333333"/>
          <w:sz w:val="24"/>
        </w:rPr>
      </w:pPr>
      <w:r>
        <w:rPr>
          <w:color w:val="333333"/>
          <w:sz w:val="24"/>
        </w:rPr>
        <w:t>Co-operative Society</w:t>
      </w:r>
      <w:r>
        <w:rPr>
          <w:color w:val="333333"/>
          <w:spacing w:val="-12"/>
          <w:sz w:val="24"/>
        </w:rPr>
        <w:t> </w:t>
      </w:r>
      <w:r>
        <w:rPr>
          <w:color w:val="333333"/>
          <w:sz w:val="24"/>
        </w:rPr>
        <w:t>(x2)</w:t>
      </w:r>
    </w:p>
    <w:p>
      <w:pPr>
        <w:pStyle w:val="ListParagraph"/>
        <w:numPr>
          <w:ilvl w:val="1"/>
          <w:numId w:val="19"/>
        </w:numPr>
        <w:tabs>
          <w:tab w:pos="829" w:val="left" w:leader="none"/>
          <w:tab w:pos="830" w:val="left" w:leader="none"/>
        </w:tabs>
        <w:spacing w:line="276" w:lineRule="exact" w:before="0" w:after="0"/>
        <w:ind w:left="830" w:right="0" w:hanging="360"/>
        <w:jc w:val="left"/>
        <w:rPr>
          <w:rFonts w:ascii="Symbol"/>
          <w:color w:val="333333"/>
          <w:sz w:val="24"/>
        </w:rPr>
      </w:pPr>
      <w:r>
        <w:rPr>
          <w:color w:val="333333"/>
          <w:sz w:val="24"/>
        </w:rPr>
        <w:t>Ltd Company</w:t>
      </w:r>
      <w:r>
        <w:rPr>
          <w:color w:val="333333"/>
          <w:spacing w:val="-8"/>
          <w:sz w:val="24"/>
        </w:rPr>
        <w:t> </w:t>
      </w:r>
      <w:r>
        <w:rPr>
          <w:color w:val="333333"/>
          <w:sz w:val="24"/>
        </w:rPr>
        <w:t>(x2)</w:t>
      </w:r>
    </w:p>
    <w:p>
      <w:pPr>
        <w:pStyle w:val="ListParagraph"/>
        <w:numPr>
          <w:ilvl w:val="1"/>
          <w:numId w:val="19"/>
        </w:numPr>
        <w:tabs>
          <w:tab w:pos="829" w:val="left" w:leader="none"/>
          <w:tab w:pos="830" w:val="left" w:leader="none"/>
        </w:tabs>
        <w:spacing w:line="276" w:lineRule="exact" w:before="0" w:after="0"/>
        <w:ind w:left="830" w:right="0" w:hanging="360"/>
        <w:jc w:val="left"/>
        <w:rPr>
          <w:rFonts w:ascii="Symbol"/>
          <w:color w:val="333333"/>
          <w:sz w:val="24"/>
        </w:rPr>
      </w:pPr>
      <w:r>
        <w:rPr>
          <w:color w:val="333333"/>
          <w:sz w:val="24"/>
        </w:rPr>
        <w:t>Charitable Organisation</w:t>
      </w:r>
      <w:r>
        <w:rPr>
          <w:color w:val="333333"/>
          <w:spacing w:val="-10"/>
          <w:sz w:val="24"/>
        </w:rPr>
        <w:t> </w:t>
      </w:r>
      <w:r>
        <w:rPr>
          <w:color w:val="333333"/>
          <w:sz w:val="24"/>
        </w:rPr>
        <w:t>(x3)</w:t>
      </w:r>
    </w:p>
    <w:p>
      <w:pPr>
        <w:pStyle w:val="ListParagraph"/>
        <w:numPr>
          <w:ilvl w:val="1"/>
          <w:numId w:val="19"/>
        </w:numPr>
        <w:tabs>
          <w:tab w:pos="829" w:val="left" w:leader="none"/>
          <w:tab w:pos="830" w:val="left" w:leader="none"/>
        </w:tabs>
        <w:spacing w:line="296" w:lineRule="exact" w:before="0" w:after="0"/>
        <w:ind w:left="830" w:right="0" w:hanging="360"/>
        <w:jc w:val="left"/>
        <w:rPr>
          <w:rFonts w:ascii="Symbol"/>
          <w:color w:val="333333"/>
          <w:sz w:val="24"/>
        </w:rPr>
      </w:pPr>
      <w:r>
        <w:rPr>
          <w:color w:val="333333"/>
          <w:sz w:val="24"/>
        </w:rPr>
        <w:t>Diocesan Institution Board of</w:t>
      </w:r>
      <w:r>
        <w:rPr>
          <w:color w:val="333333"/>
          <w:spacing w:val="-14"/>
          <w:sz w:val="24"/>
        </w:rPr>
        <w:t> </w:t>
      </w:r>
      <w:r>
        <w:rPr>
          <w:color w:val="333333"/>
          <w:sz w:val="24"/>
        </w:rPr>
        <w:t>Management</w:t>
      </w:r>
    </w:p>
    <w:p>
      <w:pPr>
        <w:pStyle w:val="Heading3"/>
        <w:spacing w:before="237"/>
        <w:rPr>
          <w:u w:val="none"/>
        </w:rPr>
      </w:pPr>
      <w:r>
        <w:rPr>
          <w:u w:val="thick"/>
        </w:rPr>
        <w:t>Appendix 10: Income Generation (Question 3.5)</w:t>
      </w:r>
    </w:p>
    <w:p>
      <w:pPr>
        <w:pStyle w:val="ListParagraph"/>
        <w:numPr>
          <w:ilvl w:val="1"/>
          <w:numId w:val="19"/>
        </w:numPr>
        <w:tabs>
          <w:tab w:pos="829" w:val="left" w:leader="none"/>
          <w:tab w:pos="830" w:val="left" w:leader="none"/>
        </w:tabs>
        <w:spacing w:line="295" w:lineRule="exact" w:before="151" w:after="0"/>
        <w:ind w:left="830" w:right="0" w:hanging="360"/>
        <w:jc w:val="left"/>
        <w:rPr>
          <w:rFonts w:ascii="Symbol"/>
          <w:color w:val="333333"/>
          <w:sz w:val="24"/>
        </w:rPr>
      </w:pPr>
      <w:r>
        <w:rPr>
          <w:color w:val="333333"/>
          <w:sz w:val="24"/>
        </w:rPr>
        <w:t>Membership Subscriptions</w:t>
      </w:r>
      <w:r>
        <w:rPr>
          <w:color w:val="333333"/>
          <w:spacing w:val="-11"/>
          <w:sz w:val="24"/>
        </w:rPr>
        <w:t> </w:t>
      </w:r>
      <w:r>
        <w:rPr>
          <w:color w:val="333333"/>
          <w:sz w:val="24"/>
        </w:rPr>
        <w:t>(x4)</w:t>
      </w:r>
    </w:p>
    <w:p>
      <w:pPr>
        <w:pStyle w:val="ListParagraph"/>
        <w:numPr>
          <w:ilvl w:val="1"/>
          <w:numId w:val="19"/>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Apply for grants</w:t>
      </w:r>
      <w:r>
        <w:rPr>
          <w:color w:val="333333"/>
          <w:spacing w:val="-7"/>
          <w:sz w:val="24"/>
        </w:rPr>
        <w:t> </w:t>
      </w:r>
      <w:r>
        <w:rPr>
          <w:color w:val="333333"/>
          <w:sz w:val="24"/>
        </w:rPr>
        <w:t>(x13)</w:t>
      </w:r>
    </w:p>
    <w:p>
      <w:pPr>
        <w:pStyle w:val="ListParagraph"/>
        <w:numPr>
          <w:ilvl w:val="1"/>
          <w:numId w:val="19"/>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club lotto</w:t>
      </w:r>
      <w:r>
        <w:rPr>
          <w:color w:val="333333"/>
          <w:spacing w:val="-5"/>
          <w:sz w:val="24"/>
        </w:rPr>
        <w:t> </w:t>
      </w:r>
      <w:r>
        <w:rPr>
          <w:color w:val="333333"/>
          <w:sz w:val="24"/>
        </w:rPr>
        <w:t>(x2)</w:t>
      </w:r>
    </w:p>
    <w:p>
      <w:pPr>
        <w:pStyle w:val="ListParagraph"/>
        <w:numPr>
          <w:ilvl w:val="1"/>
          <w:numId w:val="19"/>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Church</w:t>
      </w:r>
      <w:r>
        <w:rPr>
          <w:color w:val="333333"/>
          <w:spacing w:val="-6"/>
          <w:sz w:val="24"/>
        </w:rPr>
        <w:t> </w:t>
      </w:r>
      <w:r>
        <w:rPr>
          <w:color w:val="333333"/>
          <w:sz w:val="24"/>
        </w:rPr>
        <w:t>offerings</w:t>
      </w:r>
    </w:p>
    <w:p>
      <w:pPr>
        <w:pStyle w:val="ListParagraph"/>
        <w:numPr>
          <w:ilvl w:val="1"/>
          <w:numId w:val="19"/>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Admission</w:t>
      </w:r>
      <w:r>
        <w:rPr>
          <w:color w:val="333333"/>
          <w:spacing w:val="-6"/>
          <w:sz w:val="24"/>
        </w:rPr>
        <w:t> </w:t>
      </w:r>
      <w:r>
        <w:rPr>
          <w:color w:val="333333"/>
          <w:sz w:val="24"/>
        </w:rPr>
        <w:t>Charges</w:t>
      </w:r>
    </w:p>
    <w:p>
      <w:pPr>
        <w:pStyle w:val="ListParagraph"/>
        <w:numPr>
          <w:ilvl w:val="1"/>
          <w:numId w:val="19"/>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sponsorship, gate</w:t>
      </w:r>
      <w:r>
        <w:rPr>
          <w:color w:val="333333"/>
          <w:spacing w:val="-9"/>
          <w:sz w:val="24"/>
        </w:rPr>
        <w:t> </w:t>
      </w:r>
      <w:r>
        <w:rPr>
          <w:color w:val="333333"/>
          <w:sz w:val="24"/>
        </w:rPr>
        <w:t>receipts</w:t>
      </w:r>
    </w:p>
    <w:p>
      <w:pPr>
        <w:pStyle w:val="ListParagraph"/>
        <w:numPr>
          <w:ilvl w:val="1"/>
          <w:numId w:val="19"/>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Funded by Dept &amp;a Local</w:t>
      </w:r>
      <w:r>
        <w:rPr>
          <w:color w:val="333333"/>
          <w:spacing w:val="-13"/>
          <w:sz w:val="24"/>
        </w:rPr>
        <w:t> </w:t>
      </w:r>
      <w:r>
        <w:rPr>
          <w:color w:val="333333"/>
          <w:sz w:val="24"/>
        </w:rPr>
        <w:t>Authority</w:t>
      </w:r>
    </w:p>
    <w:p>
      <w:pPr>
        <w:pStyle w:val="ListParagraph"/>
        <w:numPr>
          <w:ilvl w:val="1"/>
          <w:numId w:val="19"/>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Church funds</w:t>
      </w:r>
      <w:r>
        <w:rPr>
          <w:color w:val="333333"/>
          <w:spacing w:val="-8"/>
          <w:sz w:val="24"/>
        </w:rPr>
        <w:t> </w:t>
      </w:r>
      <w:r>
        <w:rPr>
          <w:color w:val="333333"/>
          <w:sz w:val="24"/>
        </w:rPr>
        <w:t>(collections)</w:t>
      </w:r>
    </w:p>
    <w:p>
      <w:pPr>
        <w:pStyle w:val="ListParagraph"/>
        <w:numPr>
          <w:ilvl w:val="1"/>
          <w:numId w:val="19"/>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Weekly</w:t>
      </w:r>
      <w:r>
        <w:rPr>
          <w:color w:val="333333"/>
          <w:spacing w:val="-3"/>
          <w:sz w:val="24"/>
        </w:rPr>
        <w:t> </w:t>
      </w:r>
      <w:r>
        <w:rPr>
          <w:color w:val="333333"/>
          <w:sz w:val="24"/>
        </w:rPr>
        <w:t>Bingo</w:t>
      </w:r>
    </w:p>
    <w:p>
      <w:pPr>
        <w:pStyle w:val="ListParagraph"/>
        <w:numPr>
          <w:ilvl w:val="1"/>
          <w:numId w:val="19"/>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gospel</w:t>
      </w:r>
      <w:r>
        <w:rPr>
          <w:color w:val="333333"/>
          <w:spacing w:val="-7"/>
          <w:sz w:val="24"/>
        </w:rPr>
        <w:t> </w:t>
      </w:r>
      <w:r>
        <w:rPr>
          <w:color w:val="333333"/>
          <w:sz w:val="24"/>
        </w:rPr>
        <w:t>services</w:t>
      </w:r>
    </w:p>
    <w:p>
      <w:pPr>
        <w:pStyle w:val="ListParagraph"/>
        <w:numPr>
          <w:ilvl w:val="1"/>
          <w:numId w:val="19"/>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Voluntary</w:t>
      </w:r>
      <w:r>
        <w:rPr>
          <w:color w:val="333333"/>
          <w:spacing w:val="-5"/>
          <w:sz w:val="24"/>
        </w:rPr>
        <w:t> </w:t>
      </w:r>
      <w:r>
        <w:rPr>
          <w:color w:val="333333"/>
          <w:sz w:val="24"/>
        </w:rPr>
        <w:t>submissions</w:t>
      </w:r>
    </w:p>
    <w:p>
      <w:pPr>
        <w:pStyle w:val="ListParagraph"/>
        <w:numPr>
          <w:ilvl w:val="1"/>
          <w:numId w:val="19"/>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meter</w:t>
      </w:r>
      <w:r>
        <w:rPr>
          <w:color w:val="333333"/>
          <w:spacing w:val="-1"/>
          <w:sz w:val="24"/>
        </w:rPr>
        <w:t> </w:t>
      </w:r>
      <w:r>
        <w:rPr>
          <w:color w:val="333333"/>
          <w:sz w:val="24"/>
        </w:rPr>
        <w:t>box</w:t>
      </w:r>
    </w:p>
    <w:p>
      <w:pPr>
        <w:pStyle w:val="ListParagraph"/>
        <w:numPr>
          <w:ilvl w:val="1"/>
          <w:numId w:val="19"/>
        </w:numPr>
        <w:tabs>
          <w:tab w:pos="829" w:val="left" w:leader="none"/>
          <w:tab w:pos="830" w:val="left" w:leader="none"/>
        </w:tabs>
        <w:spacing w:line="223" w:lineRule="auto" w:before="18" w:after="0"/>
        <w:ind w:left="830" w:right="101" w:hanging="360"/>
        <w:jc w:val="left"/>
        <w:rPr>
          <w:rFonts w:ascii="Symbol"/>
          <w:color w:val="333333"/>
          <w:sz w:val="24"/>
        </w:rPr>
      </w:pPr>
      <w:r>
        <w:rPr>
          <w:color w:val="333333"/>
          <w:sz w:val="24"/>
        </w:rPr>
        <w:t>The library does not generate any income generally but does charge for</w:t>
      </w:r>
      <w:r>
        <w:rPr>
          <w:color w:val="333333"/>
          <w:spacing w:val="-30"/>
          <w:sz w:val="24"/>
        </w:rPr>
        <w:t> </w:t>
      </w:r>
      <w:r>
        <w:rPr>
          <w:color w:val="333333"/>
          <w:sz w:val="24"/>
        </w:rPr>
        <w:t>some events</w:t>
      </w:r>
    </w:p>
    <w:p>
      <w:pPr>
        <w:pStyle w:val="BodyText"/>
        <w:spacing w:before="1"/>
        <w:rPr>
          <w:sz w:val="36"/>
        </w:rPr>
      </w:pPr>
    </w:p>
    <w:p>
      <w:pPr>
        <w:pStyle w:val="Heading3"/>
        <w:rPr>
          <w:u w:val="none"/>
        </w:rPr>
      </w:pPr>
      <w:r>
        <w:rPr>
          <w:u w:val="thick"/>
        </w:rPr>
        <w:t>Appendix 11: ‘Other’ rooms available within the Facility (Question 4.1)</w:t>
      </w:r>
    </w:p>
    <w:p>
      <w:pPr>
        <w:pStyle w:val="ListParagraph"/>
        <w:numPr>
          <w:ilvl w:val="1"/>
          <w:numId w:val="19"/>
        </w:numPr>
        <w:tabs>
          <w:tab w:pos="829" w:val="left" w:leader="none"/>
          <w:tab w:pos="830" w:val="left" w:leader="none"/>
        </w:tabs>
        <w:spacing w:line="295" w:lineRule="exact" w:before="151" w:after="0"/>
        <w:ind w:left="830" w:right="0" w:hanging="360"/>
        <w:jc w:val="left"/>
        <w:rPr>
          <w:rFonts w:ascii="Symbol"/>
          <w:color w:val="333333"/>
          <w:sz w:val="24"/>
        </w:rPr>
      </w:pPr>
      <w:r>
        <w:rPr>
          <w:color w:val="333333"/>
          <w:sz w:val="24"/>
        </w:rPr>
        <w:t>One room with small kitchen and</w:t>
      </w:r>
      <w:r>
        <w:rPr>
          <w:color w:val="333333"/>
          <w:spacing w:val="-12"/>
          <w:sz w:val="24"/>
        </w:rPr>
        <w:t> </w:t>
      </w:r>
      <w:r>
        <w:rPr>
          <w:color w:val="333333"/>
          <w:sz w:val="24"/>
        </w:rPr>
        <w:t>toilet</w:t>
      </w:r>
    </w:p>
    <w:p>
      <w:pPr>
        <w:pStyle w:val="ListParagraph"/>
        <w:numPr>
          <w:ilvl w:val="1"/>
          <w:numId w:val="19"/>
        </w:numPr>
        <w:tabs>
          <w:tab w:pos="829" w:val="left" w:leader="none"/>
          <w:tab w:pos="830" w:val="left" w:leader="none"/>
        </w:tabs>
        <w:spacing w:line="293" w:lineRule="exact" w:before="0" w:after="0"/>
        <w:ind w:left="830" w:right="0" w:hanging="360"/>
        <w:jc w:val="left"/>
        <w:rPr>
          <w:rFonts w:ascii="Symbol" w:hAnsi="Symbol"/>
          <w:color w:val="333333"/>
          <w:sz w:val="24"/>
        </w:rPr>
      </w:pPr>
      <w:r>
        <w:rPr>
          <w:color w:val="333333"/>
          <w:sz w:val="24"/>
        </w:rPr>
        <w:t>Men’s shed</w:t>
      </w:r>
      <w:r>
        <w:rPr>
          <w:color w:val="333333"/>
          <w:spacing w:val="-6"/>
          <w:sz w:val="24"/>
        </w:rPr>
        <w:t> </w:t>
      </w:r>
      <w:r>
        <w:rPr>
          <w:color w:val="333333"/>
          <w:sz w:val="24"/>
        </w:rPr>
        <w:t>room</w:t>
      </w:r>
    </w:p>
    <w:p>
      <w:pPr>
        <w:pStyle w:val="ListParagraph"/>
        <w:numPr>
          <w:ilvl w:val="1"/>
          <w:numId w:val="19"/>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Event</w:t>
      </w:r>
      <w:r>
        <w:rPr>
          <w:color w:val="333333"/>
          <w:spacing w:val="-6"/>
          <w:sz w:val="24"/>
        </w:rPr>
        <w:t> </w:t>
      </w:r>
      <w:r>
        <w:rPr>
          <w:color w:val="333333"/>
          <w:sz w:val="24"/>
        </w:rPr>
        <w:t>Space</w:t>
      </w:r>
    </w:p>
    <w:p>
      <w:pPr>
        <w:pStyle w:val="ListParagraph"/>
        <w:numPr>
          <w:ilvl w:val="1"/>
          <w:numId w:val="19"/>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gym, bar,</w:t>
      </w:r>
      <w:r>
        <w:rPr>
          <w:color w:val="333333"/>
          <w:spacing w:val="-6"/>
          <w:sz w:val="24"/>
        </w:rPr>
        <w:t> </w:t>
      </w:r>
      <w:r>
        <w:rPr>
          <w:color w:val="333333"/>
          <w:sz w:val="24"/>
        </w:rPr>
        <w:t>hall</w:t>
      </w:r>
    </w:p>
    <w:p>
      <w:pPr>
        <w:pStyle w:val="ListParagraph"/>
        <w:numPr>
          <w:ilvl w:val="1"/>
          <w:numId w:val="19"/>
        </w:numPr>
        <w:tabs>
          <w:tab w:pos="829" w:val="left" w:leader="none"/>
          <w:tab w:pos="830" w:val="left" w:leader="none"/>
        </w:tabs>
        <w:spacing w:line="223" w:lineRule="auto" w:before="17" w:after="0"/>
        <w:ind w:left="830" w:right="513" w:hanging="360"/>
        <w:jc w:val="left"/>
        <w:rPr>
          <w:rFonts w:ascii="Symbol"/>
          <w:color w:val="333333"/>
          <w:sz w:val="24"/>
        </w:rPr>
      </w:pPr>
      <w:r>
        <w:rPr>
          <w:color w:val="333333"/>
          <w:sz w:val="24"/>
        </w:rPr>
        <w:t>Therapy Rooms/Community House consisting of sitting room, recreational rooms,</w:t>
      </w:r>
      <w:r>
        <w:rPr>
          <w:color w:val="333333"/>
          <w:spacing w:val="-4"/>
          <w:sz w:val="24"/>
        </w:rPr>
        <w:t> </w:t>
      </w:r>
      <w:r>
        <w:rPr>
          <w:color w:val="333333"/>
          <w:sz w:val="24"/>
        </w:rPr>
        <w:t>wetroom</w:t>
      </w:r>
    </w:p>
    <w:p>
      <w:pPr>
        <w:pStyle w:val="ListParagraph"/>
        <w:numPr>
          <w:ilvl w:val="1"/>
          <w:numId w:val="19"/>
        </w:numPr>
        <w:tabs>
          <w:tab w:pos="829" w:val="left" w:leader="none"/>
          <w:tab w:pos="830" w:val="left" w:leader="none"/>
        </w:tabs>
        <w:spacing w:line="295" w:lineRule="exact" w:before="16" w:after="0"/>
        <w:ind w:left="830" w:right="0" w:hanging="360"/>
        <w:jc w:val="left"/>
        <w:rPr>
          <w:rFonts w:ascii="Symbol"/>
          <w:color w:val="333333"/>
          <w:sz w:val="24"/>
        </w:rPr>
      </w:pPr>
      <w:r>
        <w:rPr>
          <w:color w:val="333333"/>
          <w:sz w:val="24"/>
        </w:rPr>
        <w:t>cafe area, large</w:t>
      </w:r>
      <w:r>
        <w:rPr>
          <w:color w:val="333333"/>
          <w:spacing w:val="-10"/>
          <w:sz w:val="24"/>
        </w:rPr>
        <w:t> </w:t>
      </w:r>
      <w:r>
        <w:rPr>
          <w:color w:val="333333"/>
          <w:sz w:val="24"/>
        </w:rPr>
        <w:t>arena</w:t>
      </w:r>
    </w:p>
    <w:p>
      <w:pPr>
        <w:pStyle w:val="ListParagraph"/>
        <w:numPr>
          <w:ilvl w:val="1"/>
          <w:numId w:val="19"/>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After School</w:t>
      </w:r>
      <w:r>
        <w:rPr>
          <w:color w:val="333333"/>
          <w:spacing w:val="-5"/>
          <w:sz w:val="24"/>
        </w:rPr>
        <w:t> </w:t>
      </w:r>
      <w:r>
        <w:rPr>
          <w:color w:val="333333"/>
          <w:sz w:val="24"/>
        </w:rPr>
        <w:t>Club</w:t>
      </w:r>
    </w:p>
    <w:p>
      <w:pPr>
        <w:pStyle w:val="ListParagraph"/>
        <w:numPr>
          <w:ilvl w:val="1"/>
          <w:numId w:val="19"/>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Main bandroom, classrooms, music</w:t>
      </w:r>
      <w:r>
        <w:rPr>
          <w:color w:val="333333"/>
          <w:spacing w:val="-11"/>
          <w:sz w:val="24"/>
        </w:rPr>
        <w:t> </w:t>
      </w:r>
      <w:r>
        <w:rPr>
          <w:color w:val="333333"/>
          <w:sz w:val="24"/>
        </w:rPr>
        <w:t>library</w:t>
      </w:r>
    </w:p>
    <w:p>
      <w:pPr>
        <w:pStyle w:val="ListParagraph"/>
        <w:numPr>
          <w:ilvl w:val="1"/>
          <w:numId w:val="19"/>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Counselling and drop in</w:t>
      </w:r>
      <w:r>
        <w:rPr>
          <w:color w:val="333333"/>
          <w:spacing w:val="-7"/>
          <w:sz w:val="24"/>
        </w:rPr>
        <w:t> </w:t>
      </w:r>
      <w:r>
        <w:rPr>
          <w:color w:val="333333"/>
          <w:sz w:val="24"/>
        </w:rPr>
        <w:t>room</w:t>
      </w:r>
    </w:p>
    <w:p>
      <w:pPr>
        <w:pStyle w:val="ListParagraph"/>
        <w:numPr>
          <w:ilvl w:val="1"/>
          <w:numId w:val="19"/>
        </w:numPr>
        <w:tabs>
          <w:tab w:pos="829" w:val="left" w:leader="none"/>
          <w:tab w:pos="830" w:val="left" w:leader="none"/>
        </w:tabs>
        <w:spacing w:line="293" w:lineRule="exact" w:before="0" w:after="0"/>
        <w:ind w:left="830" w:right="0" w:hanging="360"/>
        <w:jc w:val="left"/>
        <w:rPr>
          <w:rFonts w:ascii="Symbol"/>
          <w:color w:val="333333"/>
          <w:sz w:val="24"/>
        </w:rPr>
      </w:pPr>
      <w:r>
        <w:rPr>
          <w:color w:val="333333"/>
          <w:sz w:val="24"/>
        </w:rPr>
        <w:t>gym &amp;</w:t>
      </w:r>
      <w:r>
        <w:rPr>
          <w:color w:val="333333"/>
          <w:spacing w:val="-4"/>
          <w:sz w:val="24"/>
        </w:rPr>
        <w:t> </w:t>
      </w:r>
      <w:r>
        <w:rPr>
          <w:color w:val="333333"/>
          <w:sz w:val="24"/>
        </w:rPr>
        <w:t>cyrospa</w:t>
      </w:r>
    </w:p>
    <w:p>
      <w:pPr>
        <w:pStyle w:val="ListParagraph"/>
        <w:numPr>
          <w:ilvl w:val="1"/>
          <w:numId w:val="19"/>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Audio visual room, exhibition</w:t>
      </w:r>
      <w:r>
        <w:rPr>
          <w:color w:val="333333"/>
          <w:spacing w:val="-10"/>
          <w:sz w:val="24"/>
        </w:rPr>
        <w:t> </w:t>
      </w:r>
      <w:r>
        <w:rPr>
          <w:color w:val="333333"/>
          <w:sz w:val="24"/>
        </w:rPr>
        <w:t>room</w:t>
      </w:r>
    </w:p>
    <w:p>
      <w:pPr>
        <w:pStyle w:val="ListParagraph"/>
        <w:numPr>
          <w:ilvl w:val="1"/>
          <w:numId w:val="19"/>
        </w:numPr>
        <w:tabs>
          <w:tab w:pos="829" w:val="left" w:leader="none"/>
          <w:tab w:pos="830" w:val="left" w:leader="none"/>
        </w:tabs>
        <w:spacing w:line="292" w:lineRule="exact" w:before="0" w:after="0"/>
        <w:ind w:left="830" w:right="0" w:hanging="360"/>
        <w:jc w:val="left"/>
        <w:rPr>
          <w:rFonts w:ascii="Symbol"/>
          <w:color w:val="333333"/>
          <w:sz w:val="24"/>
        </w:rPr>
      </w:pPr>
      <w:r>
        <w:rPr>
          <w:color w:val="333333"/>
          <w:sz w:val="24"/>
        </w:rPr>
        <w:t>Youth cafe space with games, also meeting</w:t>
      </w:r>
      <w:r>
        <w:rPr>
          <w:color w:val="333333"/>
          <w:spacing w:val="-14"/>
          <w:sz w:val="24"/>
        </w:rPr>
        <w:t> </w:t>
      </w:r>
      <w:r>
        <w:rPr>
          <w:color w:val="333333"/>
          <w:sz w:val="24"/>
        </w:rPr>
        <w:t>rooms</w:t>
      </w:r>
    </w:p>
    <w:p>
      <w:pPr>
        <w:pStyle w:val="ListParagraph"/>
        <w:numPr>
          <w:ilvl w:val="1"/>
          <w:numId w:val="19"/>
        </w:numPr>
        <w:tabs>
          <w:tab w:pos="829" w:val="left" w:leader="none"/>
          <w:tab w:pos="830" w:val="left" w:leader="none"/>
        </w:tabs>
        <w:spacing w:line="295" w:lineRule="exact" w:before="0" w:after="0"/>
        <w:ind w:left="830" w:right="0" w:hanging="360"/>
        <w:jc w:val="left"/>
        <w:rPr>
          <w:rFonts w:ascii="Symbol"/>
          <w:color w:val="333333"/>
          <w:sz w:val="24"/>
        </w:rPr>
      </w:pPr>
      <w:r>
        <w:rPr>
          <w:color w:val="333333"/>
          <w:sz w:val="24"/>
        </w:rPr>
        <w:t>Gallery</w:t>
      </w:r>
    </w:p>
    <w:p>
      <w:pPr>
        <w:spacing w:after="0" w:line="295" w:lineRule="exact"/>
        <w:jc w:val="left"/>
        <w:rPr>
          <w:rFonts w:ascii="Symbol"/>
          <w:sz w:val="24"/>
        </w:rPr>
        <w:sectPr>
          <w:headerReference w:type="default" r:id="rId66"/>
          <w:footerReference w:type="default" r:id="rId67"/>
          <w:pgSz w:w="11910" w:h="17340"/>
          <w:pgMar w:header="759" w:footer="0" w:top="940" w:bottom="280" w:left="1460" w:right="1260"/>
        </w:sectPr>
      </w:pPr>
    </w:p>
    <w:p>
      <w:pPr>
        <w:pStyle w:val="BodyText"/>
        <w:spacing w:before="9"/>
        <w:rPr>
          <w:sz w:val="14"/>
        </w:rPr>
      </w:pPr>
    </w:p>
    <w:p>
      <w:pPr>
        <w:pStyle w:val="ListParagraph"/>
        <w:numPr>
          <w:ilvl w:val="1"/>
          <w:numId w:val="19"/>
        </w:numPr>
        <w:tabs>
          <w:tab w:pos="829" w:val="left" w:leader="none"/>
          <w:tab w:pos="830" w:val="left" w:leader="none"/>
        </w:tabs>
        <w:spacing w:line="294" w:lineRule="exact" w:before="116" w:after="0"/>
        <w:ind w:left="830" w:right="0" w:hanging="360"/>
        <w:jc w:val="left"/>
        <w:rPr>
          <w:rFonts w:ascii="Symbol"/>
          <w:color w:val="333333"/>
          <w:sz w:val="24"/>
        </w:rPr>
      </w:pPr>
      <w:r>
        <w:rPr>
          <w:color w:val="333333"/>
          <w:sz w:val="24"/>
        </w:rPr>
        <w:t>Boardroom, multi-purpose</w:t>
      </w:r>
      <w:r>
        <w:rPr>
          <w:color w:val="333333"/>
          <w:spacing w:val="-8"/>
          <w:sz w:val="24"/>
        </w:rPr>
        <w:t> </w:t>
      </w:r>
      <w:r>
        <w:rPr>
          <w:color w:val="333333"/>
          <w:sz w:val="24"/>
        </w:rPr>
        <w:t>space</w:t>
      </w:r>
    </w:p>
    <w:p>
      <w:pPr>
        <w:pStyle w:val="ListParagraph"/>
        <w:numPr>
          <w:ilvl w:val="1"/>
          <w:numId w:val="19"/>
        </w:numPr>
        <w:tabs>
          <w:tab w:pos="829" w:val="left" w:leader="none"/>
          <w:tab w:pos="830" w:val="left" w:leader="none"/>
        </w:tabs>
        <w:spacing w:line="294" w:lineRule="exact" w:before="0" w:after="0"/>
        <w:ind w:left="830" w:right="0" w:hanging="360"/>
        <w:jc w:val="left"/>
        <w:rPr>
          <w:rFonts w:ascii="Symbol"/>
          <w:color w:val="333333"/>
          <w:sz w:val="24"/>
        </w:rPr>
      </w:pPr>
      <w:r>
        <w:rPr>
          <w:color w:val="333333"/>
          <w:sz w:val="24"/>
        </w:rPr>
        <w:t>Community childcare</w:t>
      </w:r>
      <w:r>
        <w:rPr>
          <w:color w:val="333333"/>
          <w:spacing w:val="-5"/>
          <w:sz w:val="24"/>
        </w:rPr>
        <w:t> </w:t>
      </w:r>
      <w:r>
        <w:rPr>
          <w:color w:val="333333"/>
          <w:sz w:val="24"/>
        </w:rPr>
        <w:t>rooms</w:t>
      </w:r>
    </w:p>
    <w:p>
      <w:pPr>
        <w:pStyle w:val="BodyText"/>
        <w:spacing w:before="6"/>
        <w:rPr>
          <w:sz w:val="34"/>
        </w:rPr>
      </w:pPr>
    </w:p>
    <w:p>
      <w:pPr>
        <w:pStyle w:val="Heading3"/>
        <w:rPr>
          <w:u w:val="none"/>
        </w:rPr>
      </w:pPr>
      <w:r>
        <w:rPr>
          <w:u w:val="thick"/>
        </w:rPr>
        <w:t>Appendix 12: Estimated Budgets (Question 4.6)</w:t>
      </w:r>
    </w:p>
    <w:p>
      <w:pPr>
        <w:pStyle w:val="ListParagraph"/>
        <w:numPr>
          <w:ilvl w:val="0"/>
          <w:numId w:val="19"/>
        </w:numPr>
        <w:tabs>
          <w:tab w:pos="611" w:val="left" w:leader="none"/>
          <w:tab w:pos="612" w:val="left" w:leader="none"/>
        </w:tabs>
        <w:spacing w:line="295" w:lineRule="exact" w:before="150" w:after="0"/>
        <w:ind w:left="611" w:right="0" w:hanging="360"/>
        <w:jc w:val="left"/>
        <w:rPr>
          <w:rFonts w:ascii="Symbol" w:hAnsi="Symbol"/>
          <w:sz w:val="24"/>
        </w:rPr>
      </w:pPr>
      <w:r>
        <w:rPr>
          <w:sz w:val="24"/>
        </w:rPr>
        <w:t>€65,000</w:t>
      </w:r>
    </w:p>
    <w:p>
      <w:pPr>
        <w:pStyle w:val="ListParagraph"/>
        <w:numPr>
          <w:ilvl w:val="0"/>
          <w:numId w:val="19"/>
        </w:numPr>
        <w:tabs>
          <w:tab w:pos="611" w:val="left" w:leader="none"/>
          <w:tab w:pos="612" w:val="left" w:leader="none"/>
        </w:tabs>
        <w:spacing w:line="293" w:lineRule="exact" w:before="0" w:after="0"/>
        <w:ind w:left="611" w:right="0" w:hanging="360"/>
        <w:jc w:val="left"/>
        <w:rPr>
          <w:rFonts w:ascii="Symbol" w:hAnsi="Symbol"/>
          <w:sz w:val="24"/>
        </w:rPr>
      </w:pPr>
      <w:r>
        <w:rPr>
          <w:sz w:val="24"/>
        </w:rPr>
        <w:t>€50,000</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hAnsi="Symbol"/>
          <w:sz w:val="24"/>
        </w:rPr>
      </w:pPr>
      <w:r>
        <w:rPr>
          <w:sz w:val="24"/>
        </w:rPr>
        <w:t>€185,000</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hAnsi="Symbol"/>
          <w:sz w:val="24"/>
        </w:rPr>
      </w:pPr>
      <w:r>
        <w:rPr>
          <w:sz w:val="24"/>
        </w:rPr>
        <w:t>€20,000</w:t>
      </w:r>
      <w:r>
        <w:rPr>
          <w:spacing w:val="-5"/>
          <w:sz w:val="24"/>
        </w:rPr>
        <w:t> </w:t>
      </w:r>
      <w:r>
        <w:rPr>
          <w:sz w:val="24"/>
        </w:rPr>
        <w:t>(x4)</w:t>
      </w:r>
    </w:p>
    <w:p>
      <w:pPr>
        <w:pStyle w:val="ListParagraph"/>
        <w:numPr>
          <w:ilvl w:val="0"/>
          <w:numId w:val="19"/>
        </w:numPr>
        <w:tabs>
          <w:tab w:pos="611" w:val="left" w:leader="none"/>
          <w:tab w:pos="612" w:val="left" w:leader="none"/>
        </w:tabs>
        <w:spacing w:line="293" w:lineRule="exact" w:before="0" w:after="0"/>
        <w:ind w:left="611" w:right="0" w:hanging="360"/>
        <w:jc w:val="left"/>
        <w:rPr>
          <w:rFonts w:ascii="Symbol" w:hAnsi="Symbol"/>
          <w:sz w:val="24"/>
        </w:rPr>
      </w:pPr>
      <w:r>
        <w:rPr>
          <w:sz w:val="24"/>
        </w:rPr>
        <w:t>€100,000</w:t>
      </w:r>
      <w:r>
        <w:rPr>
          <w:spacing w:val="-6"/>
          <w:sz w:val="24"/>
        </w:rPr>
        <w:t> </w:t>
      </w:r>
      <w:r>
        <w:rPr>
          <w:sz w:val="24"/>
        </w:rPr>
        <w:t>(x2)</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hAnsi="Symbol"/>
          <w:sz w:val="24"/>
        </w:rPr>
      </w:pPr>
      <w:r>
        <w:rPr>
          <w:sz w:val="24"/>
        </w:rPr>
        <w:t>€42,903, walking track, €53,859 bandstand, €31,000 medical</w:t>
      </w:r>
      <w:r>
        <w:rPr>
          <w:spacing w:val="-32"/>
          <w:sz w:val="24"/>
        </w:rPr>
        <w:t> </w:t>
      </w:r>
      <w:r>
        <w:rPr>
          <w:sz w:val="24"/>
        </w:rPr>
        <w:t>room</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hAnsi="Symbol"/>
          <w:sz w:val="24"/>
        </w:rPr>
      </w:pPr>
      <w:r>
        <w:rPr>
          <w:sz w:val="24"/>
        </w:rPr>
        <w:t>€70,000</w:t>
      </w:r>
    </w:p>
    <w:p>
      <w:pPr>
        <w:pStyle w:val="ListParagraph"/>
        <w:numPr>
          <w:ilvl w:val="0"/>
          <w:numId w:val="19"/>
        </w:numPr>
        <w:tabs>
          <w:tab w:pos="611" w:val="left" w:leader="none"/>
          <w:tab w:pos="612" w:val="left" w:leader="none"/>
        </w:tabs>
        <w:spacing w:line="293" w:lineRule="exact" w:before="0" w:after="0"/>
        <w:ind w:left="611" w:right="0" w:hanging="360"/>
        <w:jc w:val="left"/>
        <w:rPr>
          <w:rFonts w:ascii="Symbol" w:hAnsi="Symbol"/>
          <w:sz w:val="24"/>
        </w:rPr>
      </w:pPr>
      <w:r>
        <w:rPr>
          <w:sz w:val="24"/>
        </w:rPr>
        <w:t>€250,000</w:t>
      </w:r>
    </w:p>
    <w:p>
      <w:pPr>
        <w:pStyle w:val="ListParagraph"/>
        <w:numPr>
          <w:ilvl w:val="0"/>
          <w:numId w:val="19"/>
        </w:numPr>
        <w:tabs>
          <w:tab w:pos="611" w:val="left" w:leader="none"/>
          <w:tab w:pos="612" w:val="left" w:leader="none"/>
        </w:tabs>
        <w:spacing w:line="293" w:lineRule="exact" w:before="0" w:after="0"/>
        <w:ind w:left="611" w:right="0" w:hanging="360"/>
        <w:jc w:val="left"/>
        <w:rPr>
          <w:rFonts w:ascii="Symbol" w:hAnsi="Symbol"/>
          <w:sz w:val="24"/>
        </w:rPr>
      </w:pPr>
      <w:r>
        <w:rPr>
          <w:sz w:val="24"/>
        </w:rPr>
        <w:t>€500,000</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hAnsi="Symbol"/>
          <w:sz w:val="24"/>
        </w:rPr>
      </w:pPr>
      <w:r>
        <w:rPr>
          <w:sz w:val="24"/>
        </w:rPr>
        <w:t>€130,000</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hAnsi="Symbol"/>
          <w:sz w:val="24"/>
        </w:rPr>
      </w:pPr>
      <w:r>
        <w:rPr>
          <w:sz w:val="24"/>
        </w:rPr>
        <w:t>€150,000</w:t>
      </w:r>
      <w:r>
        <w:rPr>
          <w:spacing w:val="-6"/>
          <w:sz w:val="24"/>
        </w:rPr>
        <w:t> </w:t>
      </w:r>
      <w:r>
        <w:rPr>
          <w:sz w:val="24"/>
        </w:rPr>
        <w:t>(x2)</w:t>
      </w:r>
    </w:p>
    <w:p>
      <w:pPr>
        <w:pStyle w:val="ListParagraph"/>
        <w:numPr>
          <w:ilvl w:val="0"/>
          <w:numId w:val="19"/>
        </w:numPr>
        <w:tabs>
          <w:tab w:pos="611" w:val="left" w:leader="none"/>
          <w:tab w:pos="612" w:val="left" w:leader="none"/>
        </w:tabs>
        <w:spacing w:line="293" w:lineRule="exact" w:before="0" w:after="0"/>
        <w:ind w:left="611" w:right="0" w:hanging="360"/>
        <w:jc w:val="left"/>
        <w:rPr>
          <w:rFonts w:ascii="Symbol" w:hAnsi="Symbol"/>
          <w:sz w:val="24"/>
        </w:rPr>
      </w:pPr>
      <w:r>
        <w:rPr>
          <w:sz w:val="24"/>
        </w:rPr>
        <w:t>€30,000</w:t>
      </w:r>
      <w:r>
        <w:rPr>
          <w:spacing w:val="-7"/>
          <w:sz w:val="24"/>
        </w:rPr>
        <w:t> </w:t>
      </w:r>
      <w:r>
        <w:rPr>
          <w:sz w:val="24"/>
        </w:rPr>
        <w:t>(x2)</w:t>
      </w:r>
    </w:p>
    <w:p>
      <w:pPr>
        <w:pStyle w:val="ListParagraph"/>
        <w:numPr>
          <w:ilvl w:val="0"/>
          <w:numId w:val="19"/>
        </w:numPr>
        <w:tabs>
          <w:tab w:pos="611" w:val="left" w:leader="none"/>
          <w:tab w:pos="612" w:val="left" w:leader="none"/>
        </w:tabs>
        <w:spacing w:line="293" w:lineRule="exact" w:before="0" w:after="0"/>
        <w:ind w:left="611" w:right="0" w:hanging="360"/>
        <w:jc w:val="left"/>
        <w:rPr>
          <w:rFonts w:ascii="Symbol" w:hAnsi="Symbol"/>
          <w:sz w:val="24"/>
        </w:rPr>
      </w:pPr>
      <w:r>
        <w:rPr>
          <w:sz w:val="24"/>
        </w:rPr>
        <w:t>€200,000</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hAnsi="Symbol"/>
          <w:sz w:val="24"/>
        </w:rPr>
      </w:pPr>
      <w:r>
        <w:rPr>
          <w:sz w:val="24"/>
        </w:rPr>
        <w:t>€250,000</w:t>
      </w:r>
      <w:r>
        <w:rPr>
          <w:spacing w:val="-6"/>
          <w:sz w:val="24"/>
        </w:rPr>
        <w:t> </w:t>
      </w:r>
      <w:r>
        <w:rPr>
          <w:sz w:val="24"/>
        </w:rPr>
        <w:t>(x2)</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hAnsi="Symbol"/>
          <w:sz w:val="24"/>
        </w:rPr>
      </w:pPr>
      <w:r>
        <w:rPr>
          <w:sz w:val="24"/>
        </w:rPr>
        <w:t>€60 -</w:t>
      </w:r>
      <w:r>
        <w:rPr>
          <w:spacing w:val="-5"/>
          <w:sz w:val="24"/>
        </w:rPr>
        <w:t> </w:t>
      </w:r>
      <w:r>
        <w:rPr>
          <w:sz w:val="24"/>
        </w:rPr>
        <w:t>€250,000</w:t>
      </w:r>
    </w:p>
    <w:p>
      <w:pPr>
        <w:pStyle w:val="ListParagraph"/>
        <w:numPr>
          <w:ilvl w:val="0"/>
          <w:numId w:val="19"/>
        </w:numPr>
        <w:tabs>
          <w:tab w:pos="611" w:val="left" w:leader="none"/>
          <w:tab w:pos="612" w:val="left" w:leader="none"/>
        </w:tabs>
        <w:spacing w:line="293" w:lineRule="exact" w:before="0" w:after="0"/>
        <w:ind w:left="611" w:right="0" w:hanging="360"/>
        <w:jc w:val="left"/>
        <w:rPr>
          <w:rFonts w:ascii="Symbol" w:hAnsi="Symbol"/>
          <w:sz w:val="24"/>
        </w:rPr>
      </w:pPr>
      <w:r>
        <w:rPr>
          <w:sz w:val="24"/>
        </w:rPr>
        <w:t>€90,000</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hAnsi="Symbol"/>
          <w:sz w:val="24"/>
        </w:rPr>
      </w:pPr>
      <w:r>
        <w:rPr>
          <w:sz w:val="24"/>
        </w:rPr>
        <w:t>€35,000</w:t>
      </w:r>
    </w:p>
    <w:p>
      <w:pPr>
        <w:pStyle w:val="ListParagraph"/>
        <w:numPr>
          <w:ilvl w:val="0"/>
          <w:numId w:val="19"/>
        </w:numPr>
        <w:tabs>
          <w:tab w:pos="611" w:val="left" w:leader="none"/>
          <w:tab w:pos="612" w:val="left" w:leader="none"/>
        </w:tabs>
        <w:spacing w:line="292" w:lineRule="exact" w:before="0" w:after="0"/>
        <w:ind w:left="611" w:right="0" w:hanging="360"/>
        <w:jc w:val="left"/>
        <w:rPr>
          <w:rFonts w:ascii="Symbol" w:hAnsi="Symbol"/>
          <w:sz w:val="24"/>
        </w:rPr>
      </w:pPr>
      <w:r>
        <w:rPr>
          <w:sz w:val="24"/>
        </w:rPr>
        <w:t>€120,000</w:t>
      </w:r>
    </w:p>
    <w:p>
      <w:pPr>
        <w:pStyle w:val="ListParagraph"/>
        <w:numPr>
          <w:ilvl w:val="0"/>
          <w:numId w:val="19"/>
        </w:numPr>
        <w:tabs>
          <w:tab w:pos="611" w:val="left" w:leader="none"/>
          <w:tab w:pos="612" w:val="left" w:leader="none"/>
        </w:tabs>
        <w:spacing w:line="295" w:lineRule="exact" w:before="0" w:after="0"/>
        <w:ind w:left="611" w:right="0" w:hanging="360"/>
        <w:jc w:val="left"/>
        <w:rPr>
          <w:rFonts w:ascii="Symbol" w:hAnsi="Symbol"/>
          <w:sz w:val="24"/>
        </w:rPr>
      </w:pPr>
      <w:r>
        <w:rPr>
          <w:sz w:val="24"/>
        </w:rPr>
        <w:t>€80,000</w:t>
      </w:r>
    </w:p>
    <w:p>
      <w:pPr>
        <w:pStyle w:val="BodyText"/>
        <w:spacing w:before="2"/>
        <w:rPr>
          <w:sz w:val="34"/>
        </w:rPr>
      </w:pPr>
    </w:p>
    <w:p>
      <w:pPr>
        <w:pStyle w:val="Heading3"/>
        <w:rPr>
          <w:u w:val="none"/>
        </w:rPr>
      </w:pPr>
      <w:r>
        <w:rPr>
          <w:u w:val="thick"/>
        </w:rPr>
        <w:t>Appendix13: ‘Other’ Users of the Facility (Question 5.1)</w:t>
      </w:r>
    </w:p>
    <w:p>
      <w:pPr>
        <w:pStyle w:val="ListParagraph"/>
        <w:numPr>
          <w:ilvl w:val="1"/>
          <w:numId w:val="19"/>
        </w:numPr>
        <w:tabs>
          <w:tab w:pos="753" w:val="left" w:leader="none"/>
          <w:tab w:pos="754" w:val="left" w:leader="none"/>
        </w:tabs>
        <w:spacing w:line="295" w:lineRule="exact" w:before="153" w:after="0"/>
        <w:ind w:left="753" w:right="0" w:hanging="360"/>
        <w:jc w:val="left"/>
        <w:rPr>
          <w:rFonts w:ascii="Symbol"/>
          <w:sz w:val="24"/>
        </w:rPr>
      </w:pPr>
      <w:r>
        <w:rPr>
          <w:sz w:val="24"/>
        </w:rPr>
        <w:t>Golfers</w:t>
      </w:r>
    </w:p>
    <w:p>
      <w:pPr>
        <w:pStyle w:val="ListParagraph"/>
        <w:numPr>
          <w:ilvl w:val="1"/>
          <w:numId w:val="19"/>
        </w:numPr>
        <w:tabs>
          <w:tab w:pos="753" w:val="left" w:leader="none"/>
          <w:tab w:pos="754" w:val="left" w:leader="none"/>
        </w:tabs>
        <w:spacing w:line="292" w:lineRule="exact" w:before="0" w:after="0"/>
        <w:ind w:left="753" w:right="0" w:hanging="360"/>
        <w:jc w:val="left"/>
        <w:rPr>
          <w:rFonts w:ascii="Symbol"/>
          <w:sz w:val="24"/>
        </w:rPr>
      </w:pPr>
      <w:r>
        <w:rPr>
          <w:sz w:val="24"/>
        </w:rPr>
        <w:t>GAA Club Members</w:t>
      </w:r>
      <w:r>
        <w:rPr>
          <w:spacing w:val="-5"/>
          <w:sz w:val="24"/>
        </w:rPr>
        <w:t> </w:t>
      </w:r>
      <w:r>
        <w:rPr>
          <w:sz w:val="24"/>
        </w:rPr>
        <w:t>(X3)</w:t>
      </w:r>
    </w:p>
    <w:p>
      <w:pPr>
        <w:pStyle w:val="ListParagraph"/>
        <w:numPr>
          <w:ilvl w:val="1"/>
          <w:numId w:val="19"/>
        </w:numPr>
        <w:tabs>
          <w:tab w:pos="753" w:val="left" w:leader="none"/>
          <w:tab w:pos="754" w:val="left" w:leader="none"/>
        </w:tabs>
        <w:spacing w:line="292" w:lineRule="exact" w:before="0" w:after="0"/>
        <w:ind w:left="753" w:right="0" w:hanging="360"/>
        <w:jc w:val="left"/>
        <w:rPr>
          <w:rFonts w:ascii="Symbol"/>
          <w:sz w:val="24"/>
        </w:rPr>
      </w:pPr>
      <w:r>
        <w:rPr>
          <w:sz w:val="24"/>
        </w:rPr>
        <w:t>Presbyterian</w:t>
      </w:r>
      <w:r>
        <w:rPr>
          <w:spacing w:val="-10"/>
          <w:sz w:val="24"/>
        </w:rPr>
        <w:t> </w:t>
      </w:r>
      <w:r>
        <w:rPr>
          <w:sz w:val="24"/>
        </w:rPr>
        <w:t>Community</w:t>
      </w:r>
    </w:p>
    <w:p>
      <w:pPr>
        <w:pStyle w:val="ListParagraph"/>
        <w:numPr>
          <w:ilvl w:val="1"/>
          <w:numId w:val="19"/>
        </w:numPr>
        <w:tabs>
          <w:tab w:pos="753" w:val="left" w:leader="none"/>
          <w:tab w:pos="754" w:val="left" w:leader="none"/>
        </w:tabs>
        <w:spacing w:line="293" w:lineRule="exact" w:before="0" w:after="0"/>
        <w:ind w:left="753" w:right="0" w:hanging="360"/>
        <w:jc w:val="left"/>
        <w:rPr>
          <w:rFonts w:ascii="Symbol"/>
          <w:sz w:val="24"/>
        </w:rPr>
      </w:pPr>
      <w:r>
        <w:rPr>
          <w:sz w:val="24"/>
        </w:rPr>
        <w:t>Protestant</w:t>
      </w:r>
      <w:r>
        <w:rPr>
          <w:spacing w:val="-7"/>
          <w:sz w:val="24"/>
        </w:rPr>
        <w:t> </w:t>
      </w:r>
      <w:r>
        <w:rPr>
          <w:sz w:val="24"/>
        </w:rPr>
        <w:t>Community</w:t>
      </w:r>
    </w:p>
    <w:p>
      <w:pPr>
        <w:pStyle w:val="ListParagraph"/>
        <w:numPr>
          <w:ilvl w:val="1"/>
          <w:numId w:val="19"/>
        </w:numPr>
        <w:tabs>
          <w:tab w:pos="753" w:val="left" w:leader="none"/>
          <w:tab w:pos="754" w:val="left" w:leader="none"/>
        </w:tabs>
        <w:spacing w:line="295" w:lineRule="exact" w:before="0" w:after="0"/>
        <w:ind w:left="753" w:right="0" w:hanging="360"/>
        <w:jc w:val="left"/>
        <w:rPr>
          <w:rFonts w:ascii="Symbol"/>
          <w:sz w:val="24"/>
        </w:rPr>
      </w:pPr>
      <w:r>
        <w:rPr>
          <w:sz w:val="24"/>
        </w:rPr>
        <w:t>Disabilities</w:t>
      </w:r>
      <w:r>
        <w:rPr>
          <w:spacing w:val="-5"/>
          <w:sz w:val="24"/>
        </w:rPr>
        <w:t> </w:t>
      </w:r>
      <w:r>
        <w:rPr>
          <w:sz w:val="24"/>
        </w:rPr>
        <w:t>Sector</w:t>
      </w:r>
    </w:p>
    <w:p>
      <w:pPr>
        <w:spacing w:after="0" w:line="295" w:lineRule="exact"/>
        <w:jc w:val="left"/>
        <w:rPr>
          <w:rFonts w:ascii="Symbol"/>
          <w:sz w:val="24"/>
        </w:rPr>
        <w:sectPr>
          <w:headerReference w:type="default" r:id="rId68"/>
          <w:footerReference w:type="default" r:id="rId69"/>
          <w:pgSz w:w="11910" w:h="17340"/>
          <w:pgMar w:header="759" w:footer="0" w:top="940" w:bottom="280" w:left="1460" w:right="1680"/>
        </w:sectPr>
      </w:pPr>
    </w:p>
    <w:p>
      <w:pPr>
        <w:pStyle w:val="BodyText"/>
        <w:spacing w:before="5"/>
        <w:rPr>
          <w:sz w:val="15"/>
        </w:rPr>
      </w:pPr>
    </w:p>
    <w:p>
      <w:pPr>
        <w:pStyle w:val="Heading3"/>
        <w:spacing w:before="92"/>
        <w:ind w:left="790"/>
        <w:rPr>
          <w:u w:val="none"/>
        </w:rPr>
      </w:pPr>
      <w:r>
        <w:rPr>
          <w:u w:val="thick"/>
        </w:rPr>
        <w:t>Appendix 14: Sample ‘Community and Sports Facility Registration Form’</w:t>
      </w:r>
    </w:p>
    <w:p>
      <w:pPr>
        <w:pStyle w:val="BodyText"/>
        <w:spacing w:before="10"/>
        <w:rPr>
          <w:b/>
          <w:sz w:val="20"/>
        </w:rPr>
      </w:pPr>
      <w:r>
        <w:rPr/>
        <w:drawing>
          <wp:anchor distT="0" distB="0" distL="0" distR="0" allowOverlap="1" layoutInCell="1" locked="0" behindDoc="0" simplePos="0" relativeHeight="4720">
            <wp:simplePos x="0" y="0"/>
            <wp:positionH relativeFrom="page">
              <wp:posOffset>1015364</wp:posOffset>
            </wp:positionH>
            <wp:positionV relativeFrom="paragraph">
              <wp:posOffset>177763</wp:posOffset>
            </wp:positionV>
            <wp:extent cx="611441" cy="653605"/>
            <wp:effectExtent l="0" t="0" r="0" b="0"/>
            <wp:wrapTopAndBottom/>
            <wp:docPr id="29" name="image1.jpeg" descr=""/>
            <wp:cNvGraphicFramePr>
              <a:graphicFrameLocks noChangeAspect="1"/>
            </wp:cNvGraphicFramePr>
            <a:graphic>
              <a:graphicData uri="http://schemas.openxmlformats.org/drawingml/2006/picture">
                <pic:pic>
                  <pic:nvPicPr>
                    <pic:cNvPr id="30" name="image1.jpeg"/>
                    <pic:cNvPicPr/>
                  </pic:nvPicPr>
                  <pic:blipFill>
                    <a:blip r:embed="rId6" cstate="print"/>
                    <a:stretch>
                      <a:fillRect/>
                    </a:stretch>
                  </pic:blipFill>
                  <pic:spPr>
                    <a:xfrm>
                      <a:off x="0" y="0"/>
                      <a:ext cx="611441" cy="653605"/>
                    </a:xfrm>
                    <a:prstGeom prst="rect">
                      <a:avLst/>
                    </a:prstGeom>
                  </pic:spPr>
                </pic:pic>
              </a:graphicData>
            </a:graphic>
          </wp:anchor>
        </w:drawing>
      </w:r>
      <w:r>
        <w:rPr/>
        <w:drawing>
          <wp:anchor distT="0" distB="0" distL="0" distR="0" allowOverlap="1" layoutInCell="1" locked="0" behindDoc="0" simplePos="0" relativeHeight="4744">
            <wp:simplePos x="0" y="0"/>
            <wp:positionH relativeFrom="page">
              <wp:posOffset>5587365</wp:posOffset>
            </wp:positionH>
            <wp:positionV relativeFrom="paragraph">
              <wp:posOffset>224105</wp:posOffset>
            </wp:positionV>
            <wp:extent cx="884546" cy="607695"/>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72" cstate="print"/>
                    <a:stretch>
                      <a:fillRect/>
                    </a:stretch>
                  </pic:blipFill>
                  <pic:spPr>
                    <a:xfrm>
                      <a:off x="0" y="0"/>
                      <a:ext cx="884546" cy="607695"/>
                    </a:xfrm>
                    <a:prstGeom prst="rect">
                      <a:avLst/>
                    </a:prstGeom>
                  </pic:spPr>
                </pic:pic>
              </a:graphicData>
            </a:graphic>
          </wp:anchor>
        </w:drawing>
      </w:r>
    </w:p>
    <w:p>
      <w:pPr>
        <w:pStyle w:val="BodyText"/>
        <w:rPr>
          <w:b/>
          <w:sz w:val="26"/>
        </w:rPr>
      </w:pPr>
    </w:p>
    <w:p>
      <w:pPr>
        <w:pStyle w:val="Heading2"/>
        <w:spacing w:before="173"/>
        <w:ind w:left="1651"/>
      </w:pPr>
      <w:r>
        <w:rPr/>
        <w:t>Community &amp; Sports Facilities Registration Form</w:t>
      </w:r>
    </w:p>
    <w:p>
      <w:pPr>
        <w:pStyle w:val="BodyText"/>
        <w:spacing w:before="7"/>
        <w:rPr>
          <w:b/>
          <w:sz w:val="2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3"/>
        <w:gridCol w:w="6433"/>
      </w:tblGrid>
      <w:tr>
        <w:trPr>
          <w:trHeight w:val="500" w:hRule="atLeast"/>
        </w:trPr>
        <w:tc>
          <w:tcPr>
            <w:tcW w:w="3083" w:type="dxa"/>
          </w:tcPr>
          <w:p>
            <w:pPr>
              <w:pStyle w:val="TableParagraph"/>
              <w:spacing w:line="274" w:lineRule="exact"/>
              <w:ind w:left="100"/>
              <w:rPr>
                <w:b/>
                <w:sz w:val="24"/>
              </w:rPr>
            </w:pPr>
            <w:r>
              <w:rPr>
                <w:b/>
                <w:sz w:val="24"/>
              </w:rPr>
              <w:t>Name of Facility:</w:t>
            </w:r>
          </w:p>
        </w:tc>
        <w:tc>
          <w:tcPr>
            <w:tcW w:w="6433" w:type="dxa"/>
          </w:tcPr>
          <w:p>
            <w:pPr>
              <w:pStyle w:val="TableParagraph"/>
              <w:spacing w:line="240" w:lineRule="auto"/>
              <w:rPr>
                <w:rFonts w:ascii="Times New Roman"/>
                <w:sz w:val="22"/>
              </w:rPr>
            </w:pPr>
          </w:p>
        </w:tc>
      </w:tr>
      <w:tr>
        <w:trPr>
          <w:trHeight w:val="1140" w:hRule="atLeast"/>
        </w:trPr>
        <w:tc>
          <w:tcPr>
            <w:tcW w:w="3083" w:type="dxa"/>
          </w:tcPr>
          <w:p>
            <w:pPr>
              <w:pStyle w:val="TableParagraph"/>
              <w:spacing w:line="276" w:lineRule="auto"/>
              <w:ind w:left="100" w:right="85"/>
              <w:rPr>
                <w:b/>
                <w:sz w:val="24"/>
              </w:rPr>
            </w:pPr>
            <w:r>
              <w:rPr>
                <w:b/>
                <w:sz w:val="24"/>
              </w:rPr>
              <w:t>Organisation/Community Group who manages the Facility:</w:t>
            </w:r>
          </w:p>
        </w:tc>
        <w:tc>
          <w:tcPr>
            <w:tcW w:w="6433" w:type="dxa"/>
          </w:tcPr>
          <w:p>
            <w:pPr>
              <w:pStyle w:val="TableParagraph"/>
              <w:spacing w:line="240" w:lineRule="auto"/>
              <w:rPr>
                <w:rFonts w:ascii="Times New Roman"/>
                <w:sz w:val="22"/>
              </w:rPr>
            </w:pPr>
          </w:p>
        </w:tc>
      </w:tr>
      <w:tr>
        <w:trPr>
          <w:trHeight w:val="480" w:hRule="atLeast"/>
        </w:trPr>
        <w:tc>
          <w:tcPr>
            <w:tcW w:w="3083" w:type="dxa"/>
            <w:vMerge w:val="restart"/>
          </w:tcPr>
          <w:p>
            <w:pPr>
              <w:pStyle w:val="TableParagraph"/>
              <w:spacing w:line="274" w:lineRule="exact"/>
              <w:ind w:left="100"/>
              <w:rPr>
                <w:b/>
                <w:sz w:val="24"/>
              </w:rPr>
            </w:pPr>
            <w:r>
              <w:rPr>
                <w:b/>
                <w:sz w:val="24"/>
              </w:rPr>
              <w:t>Address of the Facility:</w:t>
            </w:r>
          </w:p>
        </w:tc>
        <w:tc>
          <w:tcPr>
            <w:tcW w:w="6433" w:type="dxa"/>
          </w:tcPr>
          <w:p>
            <w:pPr>
              <w:pStyle w:val="TableParagraph"/>
              <w:spacing w:line="240" w:lineRule="auto"/>
              <w:rPr>
                <w:rFonts w:ascii="Times New Roman"/>
                <w:sz w:val="22"/>
              </w:rPr>
            </w:pPr>
          </w:p>
        </w:tc>
      </w:tr>
      <w:tr>
        <w:trPr>
          <w:trHeight w:val="480" w:hRule="atLeast"/>
        </w:trPr>
        <w:tc>
          <w:tcPr>
            <w:tcW w:w="3083" w:type="dxa"/>
            <w:vMerge/>
            <w:tcBorders>
              <w:top w:val="nil"/>
            </w:tcBorders>
          </w:tcPr>
          <w:p>
            <w:pPr>
              <w:rPr>
                <w:sz w:val="2"/>
                <w:szCs w:val="2"/>
              </w:rPr>
            </w:pPr>
          </w:p>
        </w:tc>
        <w:tc>
          <w:tcPr>
            <w:tcW w:w="6433" w:type="dxa"/>
          </w:tcPr>
          <w:p>
            <w:pPr>
              <w:pStyle w:val="TableParagraph"/>
              <w:spacing w:line="240" w:lineRule="auto"/>
              <w:rPr>
                <w:rFonts w:ascii="Times New Roman"/>
                <w:sz w:val="22"/>
              </w:rPr>
            </w:pPr>
          </w:p>
        </w:tc>
      </w:tr>
      <w:tr>
        <w:trPr>
          <w:trHeight w:val="480" w:hRule="atLeast"/>
        </w:trPr>
        <w:tc>
          <w:tcPr>
            <w:tcW w:w="3083" w:type="dxa"/>
            <w:vMerge/>
            <w:tcBorders>
              <w:top w:val="nil"/>
            </w:tcBorders>
          </w:tcPr>
          <w:p>
            <w:pPr>
              <w:rPr>
                <w:sz w:val="2"/>
                <w:szCs w:val="2"/>
              </w:rPr>
            </w:pPr>
          </w:p>
        </w:tc>
        <w:tc>
          <w:tcPr>
            <w:tcW w:w="6433" w:type="dxa"/>
          </w:tcPr>
          <w:p>
            <w:pPr>
              <w:pStyle w:val="TableParagraph"/>
              <w:spacing w:line="240" w:lineRule="auto"/>
              <w:rPr>
                <w:rFonts w:ascii="Times New Roman"/>
                <w:sz w:val="22"/>
              </w:rPr>
            </w:pPr>
          </w:p>
        </w:tc>
      </w:tr>
      <w:tr>
        <w:trPr>
          <w:trHeight w:val="500" w:hRule="atLeast"/>
        </w:trPr>
        <w:tc>
          <w:tcPr>
            <w:tcW w:w="3083" w:type="dxa"/>
          </w:tcPr>
          <w:p>
            <w:pPr>
              <w:pStyle w:val="TableParagraph"/>
              <w:spacing w:line="274" w:lineRule="exact"/>
              <w:ind w:left="100"/>
              <w:rPr>
                <w:b/>
                <w:sz w:val="24"/>
              </w:rPr>
            </w:pPr>
            <w:r>
              <w:rPr>
                <w:b/>
                <w:sz w:val="24"/>
              </w:rPr>
              <w:t>Eircode:</w:t>
            </w:r>
          </w:p>
        </w:tc>
        <w:tc>
          <w:tcPr>
            <w:tcW w:w="6433" w:type="dxa"/>
          </w:tcPr>
          <w:p>
            <w:pPr>
              <w:pStyle w:val="TableParagraph"/>
              <w:spacing w:line="240" w:lineRule="auto"/>
              <w:rPr>
                <w:rFonts w:ascii="Times New Roman"/>
                <w:sz w:val="22"/>
              </w:rPr>
            </w:pPr>
          </w:p>
        </w:tc>
      </w:tr>
      <w:tr>
        <w:trPr>
          <w:trHeight w:val="820" w:hRule="atLeast"/>
        </w:trPr>
        <w:tc>
          <w:tcPr>
            <w:tcW w:w="3083" w:type="dxa"/>
          </w:tcPr>
          <w:p>
            <w:pPr>
              <w:pStyle w:val="TableParagraph"/>
              <w:spacing w:line="276" w:lineRule="auto"/>
              <w:ind w:left="100" w:right="432"/>
              <w:rPr>
                <w:b/>
                <w:sz w:val="24"/>
              </w:rPr>
            </w:pPr>
            <w:r>
              <w:rPr>
                <w:b/>
                <w:sz w:val="24"/>
              </w:rPr>
              <w:t>Phone Number for the Facility (if available):</w:t>
            </w:r>
          </w:p>
        </w:tc>
        <w:tc>
          <w:tcPr>
            <w:tcW w:w="6433" w:type="dxa"/>
          </w:tcPr>
          <w:p>
            <w:pPr>
              <w:pStyle w:val="TableParagraph"/>
              <w:spacing w:line="240" w:lineRule="auto"/>
              <w:rPr>
                <w:rFonts w:ascii="Times New Roman"/>
                <w:sz w:val="22"/>
              </w:rPr>
            </w:pPr>
          </w:p>
        </w:tc>
      </w:tr>
      <w:tr>
        <w:trPr>
          <w:trHeight w:val="820" w:hRule="atLeast"/>
        </w:trPr>
        <w:tc>
          <w:tcPr>
            <w:tcW w:w="3083" w:type="dxa"/>
          </w:tcPr>
          <w:p>
            <w:pPr>
              <w:pStyle w:val="TableParagraph"/>
              <w:spacing w:line="276" w:lineRule="auto"/>
              <w:ind w:left="100" w:right="365"/>
              <w:rPr>
                <w:b/>
                <w:sz w:val="24"/>
              </w:rPr>
            </w:pPr>
            <w:r>
              <w:rPr>
                <w:b/>
                <w:sz w:val="24"/>
              </w:rPr>
              <w:t>Contact Person for the Facility:</w:t>
            </w:r>
          </w:p>
        </w:tc>
        <w:tc>
          <w:tcPr>
            <w:tcW w:w="6433" w:type="dxa"/>
          </w:tcPr>
          <w:p>
            <w:pPr>
              <w:pStyle w:val="TableParagraph"/>
              <w:spacing w:line="240" w:lineRule="auto"/>
              <w:rPr>
                <w:rFonts w:ascii="Times New Roman"/>
                <w:sz w:val="22"/>
              </w:rPr>
            </w:pPr>
          </w:p>
        </w:tc>
      </w:tr>
      <w:tr>
        <w:trPr>
          <w:trHeight w:val="500" w:hRule="atLeast"/>
        </w:trPr>
        <w:tc>
          <w:tcPr>
            <w:tcW w:w="3083" w:type="dxa"/>
          </w:tcPr>
          <w:p>
            <w:pPr>
              <w:pStyle w:val="TableParagraph"/>
              <w:spacing w:line="274" w:lineRule="exact"/>
              <w:ind w:left="100"/>
              <w:rPr>
                <w:b/>
                <w:sz w:val="24"/>
              </w:rPr>
            </w:pPr>
            <w:r>
              <w:rPr>
                <w:b/>
                <w:sz w:val="24"/>
              </w:rPr>
              <w:t>Contact Number:</w:t>
            </w:r>
          </w:p>
        </w:tc>
        <w:tc>
          <w:tcPr>
            <w:tcW w:w="6433" w:type="dxa"/>
          </w:tcPr>
          <w:p>
            <w:pPr>
              <w:pStyle w:val="TableParagraph"/>
              <w:spacing w:line="240" w:lineRule="auto"/>
              <w:rPr>
                <w:rFonts w:ascii="Times New Roman"/>
                <w:sz w:val="22"/>
              </w:rPr>
            </w:pPr>
          </w:p>
        </w:tc>
      </w:tr>
      <w:tr>
        <w:trPr>
          <w:trHeight w:val="500" w:hRule="atLeast"/>
        </w:trPr>
        <w:tc>
          <w:tcPr>
            <w:tcW w:w="3083" w:type="dxa"/>
          </w:tcPr>
          <w:p>
            <w:pPr>
              <w:pStyle w:val="TableParagraph"/>
              <w:spacing w:line="240" w:lineRule="auto"/>
              <w:ind w:left="100"/>
              <w:rPr>
                <w:b/>
                <w:sz w:val="24"/>
              </w:rPr>
            </w:pPr>
            <w:r>
              <w:rPr>
                <w:b/>
                <w:sz w:val="24"/>
              </w:rPr>
              <w:t>Email Address:</w:t>
            </w:r>
          </w:p>
        </w:tc>
        <w:tc>
          <w:tcPr>
            <w:tcW w:w="6433" w:type="dxa"/>
          </w:tcPr>
          <w:p>
            <w:pPr>
              <w:pStyle w:val="TableParagraph"/>
              <w:spacing w:line="240" w:lineRule="auto"/>
              <w:rPr>
                <w:rFonts w:ascii="Times New Roman"/>
                <w:sz w:val="22"/>
              </w:rPr>
            </w:pPr>
          </w:p>
        </w:tc>
      </w:tr>
    </w:tbl>
    <w:p>
      <w:pPr>
        <w:pStyle w:val="BodyText"/>
        <w:spacing w:before="4"/>
        <w:rPr>
          <w:b/>
          <w:sz w:val="42"/>
        </w:rPr>
      </w:pPr>
    </w:p>
    <w:p>
      <w:pPr>
        <w:spacing w:line="276" w:lineRule="auto" w:before="0"/>
        <w:ind w:left="790" w:right="172" w:firstLine="0"/>
        <w:jc w:val="left"/>
        <w:rPr>
          <w:sz w:val="22"/>
        </w:rPr>
      </w:pPr>
      <w:r>
        <w:rPr/>
        <w:pict>
          <v:rect style="position:absolute;margin-left:51.240002pt;margin-top:1.197863pt;width:10.344pt;height:10.32pt;mso-position-horizontal-relative:page;mso-position-vertical-relative:paragraph;z-index:4768" filled="false" stroked="true" strokeweight=".72pt" strokecolor="#000000">
            <v:stroke dashstyle="solid"/>
            <w10:wrap type="none"/>
          </v:rect>
        </w:pict>
      </w:r>
      <w:r>
        <w:rPr>
          <w:sz w:val="22"/>
        </w:rPr>
        <w:t>Please </w:t>
      </w:r>
      <w:r>
        <w:rPr>
          <w:b/>
          <w:sz w:val="22"/>
        </w:rPr>
        <w:t>tick this box </w:t>
      </w:r>
      <w:r>
        <w:rPr>
          <w:sz w:val="22"/>
        </w:rPr>
        <w:t>if you </w:t>
      </w:r>
      <w:r>
        <w:rPr>
          <w:b/>
          <w:sz w:val="22"/>
        </w:rPr>
        <w:t>do not </w:t>
      </w:r>
      <w:r>
        <w:rPr>
          <w:sz w:val="22"/>
        </w:rPr>
        <w:t>wish these details to be openly available within Cavan County Council’s Community &amp; Sports Facilities Public Database. This database is shared with relevant third parties.</w:t>
      </w:r>
    </w:p>
    <w:p>
      <w:pPr>
        <w:tabs>
          <w:tab w:pos="1509" w:val="left" w:leader="none"/>
        </w:tabs>
        <w:spacing w:line="465" w:lineRule="auto" w:before="199"/>
        <w:ind w:left="223" w:right="4519" w:firstLine="0"/>
        <w:jc w:val="left"/>
        <w:rPr>
          <w:sz w:val="22"/>
        </w:rPr>
      </w:pPr>
      <w:r>
        <w:rPr>
          <w:b/>
          <w:sz w:val="22"/>
        </w:rPr>
        <w:t>Please return completed form to Gráinne Boyle: Via</w:t>
      </w:r>
      <w:r>
        <w:rPr>
          <w:b/>
          <w:spacing w:val="-1"/>
          <w:sz w:val="22"/>
        </w:rPr>
        <w:t> </w:t>
      </w:r>
      <w:r>
        <w:rPr>
          <w:b/>
          <w:sz w:val="22"/>
        </w:rPr>
        <w:t>Email:</w:t>
        <w:tab/>
      </w:r>
      <w:hyperlink r:id="rId47">
        <w:r>
          <w:rPr>
            <w:color w:val="0000FF"/>
            <w:sz w:val="22"/>
            <w:u w:val="single" w:color="0000FF"/>
          </w:rPr>
          <w:t>gboyle@cavancoco.ie</w:t>
        </w:r>
      </w:hyperlink>
    </w:p>
    <w:p>
      <w:pPr>
        <w:tabs>
          <w:tab w:pos="1509" w:val="left" w:leader="none"/>
        </w:tabs>
        <w:spacing w:line="278" w:lineRule="auto" w:before="7"/>
        <w:ind w:left="1510" w:right="425" w:hanging="1287"/>
        <w:jc w:val="left"/>
        <w:rPr>
          <w:sz w:val="22"/>
        </w:rPr>
      </w:pPr>
      <w:r>
        <w:rPr>
          <w:b/>
          <w:sz w:val="22"/>
        </w:rPr>
        <w:t>Via</w:t>
      </w:r>
      <w:r>
        <w:rPr>
          <w:b/>
          <w:spacing w:val="-1"/>
          <w:sz w:val="22"/>
        </w:rPr>
        <w:t> </w:t>
      </w:r>
      <w:r>
        <w:rPr>
          <w:b/>
          <w:sz w:val="22"/>
        </w:rPr>
        <w:t>Post:</w:t>
        <w:tab/>
      </w:r>
      <w:r>
        <w:rPr>
          <w:sz w:val="22"/>
        </w:rPr>
        <w:t>Cavan County Council, Community &amp; Enterprise, Farnham Centre,</w:t>
      </w:r>
      <w:r>
        <w:rPr>
          <w:spacing w:val="-26"/>
          <w:sz w:val="22"/>
        </w:rPr>
        <w:t> </w:t>
      </w:r>
      <w:r>
        <w:rPr>
          <w:sz w:val="22"/>
        </w:rPr>
        <w:t>Farnham</w:t>
      </w:r>
      <w:r>
        <w:rPr>
          <w:spacing w:val="-3"/>
          <w:sz w:val="22"/>
        </w:rPr>
        <w:t> </w:t>
      </w:r>
      <w:r>
        <w:rPr>
          <w:sz w:val="22"/>
        </w:rPr>
        <w:t>St.,</w:t>
      </w:r>
      <w:r>
        <w:rPr>
          <w:w w:val="100"/>
          <w:sz w:val="22"/>
        </w:rPr>
        <w:t> </w:t>
      </w:r>
      <w:r>
        <w:rPr>
          <w:sz w:val="22"/>
        </w:rPr>
        <w:t>Cavan, Co.</w:t>
      </w:r>
      <w:r>
        <w:rPr>
          <w:spacing w:val="-6"/>
          <w:sz w:val="22"/>
        </w:rPr>
        <w:t> </w:t>
      </w:r>
      <w:r>
        <w:rPr>
          <w:sz w:val="22"/>
        </w:rPr>
        <w:t>Cavan</w:t>
      </w:r>
    </w:p>
    <w:sectPr>
      <w:headerReference w:type="default" r:id="rId70"/>
      <w:footerReference w:type="default" r:id="rId71"/>
      <w:pgSz w:w="11910" w:h="17340"/>
      <w:pgMar w:header="759" w:footer="0" w:top="940" w:bottom="280" w:left="78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
    <w:altName w:val="Helvetica"/>
    <w:charset w:val="0"/>
    <w:family w:val="swiss"/>
    <w:pitch w:val="variable"/>
  </w:font>
  <w:font w:name="Wingdings">
    <w:altName w:val="Wingdings"/>
    <w:charset w:val="0"/>
    <w:family w:val="auto"/>
    <w:pitch w:val="variable"/>
  </w:font>
  <w:font w:name="Symbol">
    <w:altName w:val="Symbol"/>
    <w:charset w:val="0"/>
    <w:family w:val="auto"/>
    <w:pitch w:val="variable"/>
  </w:font>
  <w:font w:name="Verdana">
    <w:altName w:val="Verdana"/>
    <w:charset w:val="0"/>
    <w:family w:val="swiss"/>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950012pt;margin-top:805.160034pt;width:9.6pt;height:13.05pt;mso-position-horizontal-relative:page;mso-position-vertical-relative:page;z-index:-94576" type="#_x0000_t202" filled="false" stroked="false">
          <v:textbox inset="0,0,0,0">
            <w:txbxContent>
              <w:p>
                <w:pPr>
                  <w:spacing w:line="232" w:lineRule="exact" w:before="0"/>
                  <w:ind w:left="40" w:right="0" w:firstLine="0"/>
                  <w:jc w:val="left"/>
                  <w:rPr>
                    <w:sz w:val="22"/>
                  </w:rPr>
                </w:pPr>
                <w:r>
                  <w:rPr/>
                  <w:fldChar w:fldCharType="begin"/>
                </w:r>
                <w:r>
                  <w:rPr>
                    <w:w w:val="91"/>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190002pt;margin-top:805.160034pt;width:15.3pt;height:13.05pt;mso-position-horizontal-relative:page;mso-position-vertical-relative:page;z-index:-94408" type="#_x0000_t202" filled="false" stroked="false">
          <v:textbox inset="0,0,0,0">
            <w:txbxContent>
              <w:p>
                <w:pPr>
                  <w:spacing w:line="232" w:lineRule="exact" w:before="0"/>
                  <w:ind w:left="40" w:right="0" w:firstLine="0"/>
                  <w:jc w:val="left"/>
                  <w:rPr>
                    <w:sz w:val="22"/>
                  </w:rPr>
                </w:pPr>
                <w:r>
                  <w:rPr/>
                  <w:fldChar w:fldCharType="begin"/>
                </w:r>
                <w:r>
                  <w:rPr>
                    <w:sz w:val="22"/>
                  </w:rPr>
                  <w:instrText> PAGE </w:instrText>
                </w:r>
                <w:r>
                  <w:rPr/>
                  <w:fldChar w:fldCharType="separate"/>
                </w:r>
                <w:r>
                  <w:rPr/>
                  <w:t>31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190002pt;margin-top:805.160034pt;width:13.3pt;height:13.05pt;mso-position-horizontal-relative:page;mso-position-vertical-relative:page;z-index:-94552" type="#_x0000_t202" filled="false" stroked="false">
          <v:textbox inset="0,0,0,0">
            <w:txbxContent>
              <w:p>
                <w:pPr>
                  <w:spacing w:line="232" w:lineRule="exact" w:before="0"/>
                  <w:ind w:left="20" w:right="0" w:firstLine="0"/>
                  <w:jc w:val="left"/>
                  <w:rPr>
                    <w:sz w:val="22"/>
                  </w:rPr>
                </w:pPr>
                <w:r>
                  <w:rPr>
                    <w:w w:val="95"/>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190002pt;margin-top:805.160034pt;width:15.3pt;height:13.05pt;mso-position-horizontal-relative:page;mso-position-vertical-relative:page;z-index:-94504" type="#_x0000_t202" filled="false" stroked="false">
          <v:textbox inset="0,0,0,0">
            <w:txbxContent>
              <w:p>
                <w:pPr>
                  <w:spacing w:line="232" w:lineRule="exact" w:before="0"/>
                  <w:ind w:left="40" w:right="0" w:firstLine="0"/>
                  <w:jc w:val="left"/>
                  <w:rPr>
                    <w:sz w:val="22"/>
                  </w:rPr>
                </w:pPr>
                <w:r>
                  <w:rPr/>
                  <w:fldChar w:fldCharType="begin"/>
                </w:r>
                <w:r>
                  <w:rPr>
                    <w:sz w:val="22"/>
                  </w:rPr>
                  <w:instrText> PAGE </w:instrText>
                </w:r>
                <w:r>
                  <w:rPr/>
                  <w:fldChar w:fldCharType="separate"/>
                </w:r>
                <w:r>
                  <w:rPr/>
                  <w:t>14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190002pt;margin-top:805.160034pt;width:13.3pt;height:13.05pt;mso-position-horizontal-relative:page;mso-position-vertical-relative:page;z-index:-94480" type="#_x0000_t202" filled="false" stroked="false">
          <v:textbox inset="0,0,0,0">
            <w:txbxContent>
              <w:p>
                <w:pPr>
                  <w:spacing w:line="232" w:lineRule="exact" w:before="0"/>
                  <w:ind w:left="20" w:right="0" w:firstLine="0"/>
                  <w:jc w:val="left"/>
                  <w:rPr>
                    <w:sz w:val="22"/>
                  </w:rPr>
                </w:pPr>
                <w:r>
                  <w:rPr>
                    <w:w w:val="95"/>
                    <w:sz w:val="22"/>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190002pt;margin-top:805.160034pt;width:15.3pt;height:13.05pt;mso-position-horizontal-relative:page;mso-position-vertical-relative:page;z-index:-94456" type="#_x0000_t202" filled="false" stroked="false">
          <v:textbox inset="0,0,0,0">
            <w:txbxContent>
              <w:p>
                <w:pPr>
                  <w:spacing w:line="232" w:lineRule="exact" w:before="0"/>
                  <w:ind w:left="40" w:right="0" w:firstLine="0"/>
                  <w:jc w:val="left"/>
                  <w:rPr>
                    <w:sz w:val="22"/>
                  </w:rPr>
                </w:pPr>
                <w:r>
                  <w:rPr/>
                  <w:fldChar w:fldCharType="begin"/>
                </w:r>
                <w:r>
                  <w:rPr>
                    <w:sz w:val="22"/>
                  </w:rPr>
                  <w:instrText> PAGE </w:instrText>
                </w:r>
                <w:r>
                  <w:rPr/>
                  <w:fldChar w:fldCharType="separate"/>
                </w:r>
                <w:r>
                  <w:rPr/>
                  <w:t>21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190002pt;margin-top:805.160034pt;width:13.3pt;height:13.05pt;mso-position-horizontal-relative:page;mso-position-vertical-relative:page;z-index:-94432" type="#_x0000_t202" filled="false" stroked="false">
          <v:textbox inset="0,0,0,0">
            <w:txbxContent>
              <w:p>
                <w:pPr>
                  <w:spacing w:line="232" w:lineRule="exact" w:before="0"/>
                  <w:ind w:left="20" w:right="0" w:firstLine="0"/>
                  <w:jc w:val="left"/>
                  <w:rPr>
                    <w:sz w:val="22"/>
                  </w:rPr>
                </w:pPr>
                <w:r>
                  <w:rPr>
                    <w:w w:val="95"/>
                    <w:sz w:val="22"/>
                  </w:rPr>
                  <w:t>30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7.503998pt;margin-top:37.010006pt;width:233.9pt;height:12pt;mso-position-horizontal-relative:page;mso-position-vertical-relative:page;z-index:-94600"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288"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264"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240"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216"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192"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168"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144"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120"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096"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072"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048"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024"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000"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528"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384"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360"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336"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503998pt;margin-top:37.010006pt;width:233.9pt;height:12pt;mso-position-horizontal-relative:page;mso-position-vertical-relative:page;z-index:-94312" type="#_x0000_t202" filled="false" stroked="false">
          <v:textbox inset="0,0,0,0">
            <w:txbxContent>
              <w:p>
                <w:pPr>
                  <w:spacing w:line="212" w:lineRule="exact" w:before="0"/>
                  <w:ind w:left="20" w:right="0" w:firstLine="0"/>
                  <w:jc w:val="left"/>
                  <w:rPr>
                    <w:sz w:val="20"/>
                  </w:rPr>
                </w:pPr>
                <w:r>
                  <w:rPr>
                    <w:w w:val="90"/>
                    <w:sz w:val="20"/>
                  </w:rPr>
                  <w:t>County Cavan Community &amp; Sports Facilities Survey 2016</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0"/>
      <w:numFmt w:val="bullet"/>
      <w:lvlText w:val=""/>
      <w:lvlJc w:val="left"/>
      <w:pPr>
        <w:ind w:left="611" w:hanging="360"/>
      </w:pPr>
      <w:rPr>
        <w:rFonts w:hint="default"/>
        <w:w w:val="76"/>
      </w:rPr>
    </w:lvl>
    <w:lvl w:ilvl="1">
      <w:start w:val="0"/>
      <w:numFmt w:val="bullet"/>
      <w:lvlText w:val=""/>
      <w:lvlJc w:val="left"/>
      <w:pPr>
        <w:ind w:left="753" w:hanging="360"/>
      </w:pPr>
      <w:rPr>
        <w:rFonts w:hint="default"/>
        <w:w w:val="76"/>
      </w:rPr>
    </w:lvl>
    <w:lvl w:ilvl="2">
      <w:start w:val="0"/>
      <w:numFmt w:val="bullet"/>
      <w:lvlText w:val="•"/>
      <w:lvlJc w:val="left"/>
      <w:pPr>
        <w:ind w:left="840" w:hanging="360"/>
      </w:pPr>
      <w:rPr>
        <w:rFonts w:hint="default"/>
      </w:rPr>
    </w:lvl>
    <w:lvl w:ilvl="3">
      <w:start w:val="0"/>
      <w:numFmt w:val="bullet"/>
      <w:lvlText w:val="•"/>
      <w:lvlJc w:val="left"/>
      <w:pPr>
        <w:ind w:left="1830" w:hanging="360"/>
      </w:pPr>
      <w:rPr>
        <w:rFonts w:hint="default"/>
      </w:rPr>
    </w:lvl>
    <w:lvl w:ilvl="4">
      <w:start w:val="0"/>
      <w:numFmt w:val="bullet"/>
      <w:lvlText w:val="•"/>
      <w:lvlJc w:val="left"/>
      <w:pPr>
        <w:ind w:left="2821" w:hanging="360"/>
      </w:pPr>
      <w:rPr>
        <w:rFonts w:hint="default"/>
      </w:rPr>
    </w:lvl>
    <w:lvl w:ilvl="5">
      <w:start w:val="0"/>
      <w:numFmt w:val="bullet"/>
      <w:lvlText w:val="•"/>
      <w:lvlJc w:val="left"/>
      <w:pPr>
        <w:ind w:left="3812" w:hanging="360"/>
      </w:pPr>
      <w:rPr>
        <w:rFonts w:hint="default"/>
      </w:rPr>
    </w:lvl>
    <w:lvl w:ilvl="6">
      <w:start w:val="0"/>
      <w:numFmt w:val="bullet"/>
      <w:lvlText w:val="•"/>
      <w:lvlJc w:val="left"/>
      <w:pPr>
        <w:ind w:left="4803" w:hanging="360"/>
      </w:pPr>
      <w:rPr>
        <w:rFonts w:hint="default"/>
      </w:rPr>
    </w:lvl>
    <w:lvl w:ilvl="7">
      <w:start w:val="0"/>
      <w:numFmt w:val="bullet"/>
      <w:lvlText w:val="•"/>
      <w:lvlJc w:val="left"/>
      <w:pPr>
        <w:ind w:left="5794" w:hanging="360"/>
      </w:pPr>
      <w:rPr>
        <w:rFonts w:hint="default"/>
      </w:rPr>
    </w:lvl>
    <w:lvl w:ilvl="8">
      <w:start w:val="0"/>
      <w:numFmt w:val="bullet"/>
      <w:lvlText w:val="•"/>
      <w:lvlJc w:val="left"/>
      <w:pPr>
        <w:ind w:left="6784" w:hanging="360"/>
      </w:pPr>
      <w:rPr>
        <w:rFonts w:hint="default"/>
      </w:rPr>
    </w:lvl>
  </w:abstractNum>
  <w:abstractNum w:abstractNumId="17">
    <w:multiLevelType w:val="hybridMultilevel"/>
    <w:lvl w:ilvl="0">
      <w:start w:val="1"/>
      <w:numFmt w:val="lowerLetter"/>
      <w:lvlText w:val="(%1)"/>
      <w:lvlJc w:val="left"/>
      <w:pPr>
        <w:ind w:left="150" w:hanging="334"/>
        <w:jc w:val="left"/>
      </w:pPr>
      <w:rPr>
        <w:rFonts w:hint="default" w:ascii="Arial" w:hAnsi="Arial" w:eastAsia="Arial" w:cs="Arial"/>
        <w:b/>
        <w:bCs/>
        <w:spacing w:val="-1"/>
        <w:w w:val="100"/>
        <w:sz w:val="22"/>
        <w:szCs w:val="22"/>
      </w:rPr>
    </w:lvl>
    <w:lvl w:ilvl="1">
      <w:start w:val="0"/>
      <w:numFmt w:val="bullet"/>
      <w:lvlText w:val="•"/>
      <w:lvlJc w:val="left"/>
      <w:pPr>
        <w:ind w:left="1056" w:hanging="334"/>
      </w:pPr>
      <w:rPr>
        <w:rFonts w:hint="default"/>
      </w:rPr>
    </w:lvl>
    <w:lvl w:ilvl="2">
      <w:start w:val="0"/>
      <w:numFmt w:val="bullet"/>
      <w:lvlText w:val="•"/>
      <w:lvlJc w:val="left"/>
      <w:pPr>
        <w:ind w:left="1953" w:hanging="334"/>
      </w:pPr>
      <w:rPr>
        <w:rFonts w:hint="default"/>
      </w:rPr>
    </w:lvl>
    <w:lvl w:ilvl="3">
      <w:start w:val="0"/>
      <w:numFmt w:val="bullet"/>
      <w:lvlText w:val="•"/>
      <w:lvlJc w:val="left"/>
      <w:pPr>
        <w:ind w:left="2849" w:hanging="334"/>
      </w:pPr>
      <w:rPr>
        <w:rFonts w:hint="default"/>
      </w:rPr>
    </w:lvl>
    <w:lvl w:ilvl="4">
      <w:start w:val="0"/>
      <w:numFmt w:val="bullet"/>
      <w:lvlText w:val="•"/>
      <w:lvlJc w:val="left"/>
      <w:pPr>
        <w:ind w:left="3746" w:hanging="334"/>
      </w:pPr>
      <w:rPr>
        <w:rFonts w:hint="default"/>
      </w:rPr>
    </w:lvl>
    <w:lvl w:ilvl="5">
      <w:start w:val="0"/>
      <w:numFmt w:val="bullet"/>
      <w:lvlText w:val="•"/>
      <w:lvlJc w:val="left"/>
      <w:pPr>
        <w:ind w:left="4643" w:hanging="334"/>
      </w:pPr>
      <w:rPr>
        <w:rFonts w:hint="default"/>
      </w:rPr>
    </w:lvl>
    <w:lvl w:ilvl="6">
      <w:start w:val="0"/>
      <w:numFmt w:val="bullet"/>
      <w:lvlText w:val="•"/>
      <w:lvlJc w:val="left"/>
      <w:pPr>
        <w:ind w:left="5539" w:hanging="334"/>
      </w:pPr>
      <w:rPr>
        <w:rFonts w:hint="default"/>
      </w:rPr>
    </w:lvl>
    <w:lvl w:ilvl="7">
      <w:start w:val="0"/>
      <w:numFmt w:val="bullet"/>
      <w:lvlText w:val="•"/>
      <w:lvlJc w:val="left"/>
      <w:pPr>
        <w:ind w:left="6436" w:hanging="334"/>
      </w:pPr>
      <w:rPr>
        <w:rFonts w:hint="default"/>
      </w:rPr>
    </w:lvl>
    <w:lvl w:ilvl="8">
      <w:start w:val="0"/>
      <w:numFmt w:val="bullet"/>
      <w:lvlText w:val="•"/>
      <w:lvlJc w:val="left"/>
      <w:pPr>
        <w:ind w:left="7333" w:hanging="334"/>
      </w:pPr>
      <w:rPr>
        <w:rFonts w:hint="default"/>
      </w:rPr>
    </w:lvl>
  </w:abstractNum>
  <w:abstractNum w:abstractNumId="16">
    <w:multiLevelType w:val="hybridMultilevel"/>
    <w:lvl w:ilvl="0">
      <w:start w:val="5"/>
      <w:numFmt w:val="decimal"/>
      <w:lvlText w:val="%1"/>
      <w:lvlJc w:val="left"/>
      <w:pPr>
        <w:ind w:left="766" w:hanging="617"/>
        <w:jc w:val="left"/>
      </w:pPr>
      <w:rPr>
        <w:rFonts w:hint="default"/>
      </w:rPr>
    </w:lvl>
    <w:lvl w:ilvl="1">
      <w:start w:val="3"/>
      <w:numFmt w:val="decimal"/>
      <w:lvlText w:val="%1.%2"/>
      <w:lvlJc w:val="left"/>
      <w:pPr>
        <w:ind w:left="766" w:hanging="617"/>
        <w:jc w:val="left"/>
      </w:pPr>
      <w:rPr>
        <w:rFonts w:hint="default" w:ascii="Arial" w:hAnsi="Arial" w:eastAsia="Arial" w:cs="Arial"/>
        <w:b/>
        <w:bCs/>
        <w:w w:val="100"/>
        <w:sz w:val="22"/>
        <w:szCs w:val="22"/>
      </w:rPr>
    </w:lvl>
    <w:lvl w:ilvl="2">
      <w:start w:val="0"/>
      <w:numFmt w:val="bullet"/>
      <w:lvlText w:val=""/>
      <w:lvlJc w:val="left"/>
      <w:pPr>
        <w:ind w:left="830" w:hanging="360"/>
      </w:pPr>
      <w:rPr>
        <w:rFonts w:hint="default"/>
        <w:w w:val="76"/>
      </w:rPr>
    </w:lvl>
    <w:lvl w:ilvl="3">
      <w:start w:val="0"/>
      <w:numFmt w:val="bullet"/>
      <w:lvlText w:val="•"/>
      <w:lvlJc w:val="left"/>
      <w:pPr>
        <w:ind w:left="2641" w:hanging="360"/>
      </w:pPr>
      <w:rPr>
        <w:rFonts w:hint="default"/>
      </w:rPr>
    </w:lvl>
    <w:lvl w:ilvl="4">
      <w:start w:val="0"/>
      <w:numFmt w:val="bullet"/>
      <w:lvlText w:val="•"/>
      <w:lvlJc w:val="left"/>
      <w:pPr>
        <w:ind w:left="3542" w:hanging="360"/>
      </w:pPr>
      <w:rPr>
        <w:rFonts w:hint="default"/>
      </w:rPr>
    </w:lvl>
    <w:lvl w:ilvl="5">
      <w:start w:val="0"/>
      <w:numFmt w:val="bullet"/>
      <w:lvlText w:val="•"/>
      <w:lvlJc w:val="left"/>
      <w:pPr>
        <w:ind w:left="4442" w:hanging="360"/>
      </w:pPr>
      <w:rPr>
        <w:rFonts w:hint="default"/>
      </w:rPr>
    </w:lvl>
    <w:lvl w:ilvl="6">
      <w:start w:val="0"/>
      <w:numFmt w:val="bullet"/>
      <w:lvlText w:val="•"/>
      <w:lvlJc w:val="left"/>
      <w:pPr>
        <w:ind w:left="5343" w:hanging="360"/>
      </w:pPr>
      <w:rPr>
        <w:rFonts w:hint="default"/>
      </w:rPr>
    </w:lvl>
    <w:lvl w:ilvl="7">
      <w:start w:val="0"/>
      <w:numFmt w:val="bullet"/>
      <w:lvlText w:val="•"/>
      <w:lvlJc w:val="left"/>
      <w:pPr>
        <w:ind w:left="6244" w:hanging="360"/>
      </w:pPr>
      <w:rPr>
        <w:rFonts w:hint="default"/>
      </w:rPr>
    </w:lvl>
    <w:lvl w:ilvl="8">
      <w:start w:val="0"/>
      <w:numFmt w:val="bullet"/>
      <w:lvlText w:val="•"/>
      <w:lvlJc w:val="left"/>
      <w:pPr>
        <w:ind w:left="7144" w:hanging="360"/>
      </w:pPr>
      <w:rPr>
        <w:rFonts w:hint="default"/>
      </w:rPr>
    </w:lvl>
  </w:abstractNum>
  <w:abstractNum w:abstractNumId="15">
    <w:multiLevelType w:val="hybridMultilevel"/>
    <w:lvl w:ilvl="0">
      <w:start w:val="4"/>
      <w:numFmt w:val="decimal"/>
      <w:lvlText w:val="%1"/>
      <w:lvlJc w:val="left"/>
      <w:pPr>
        <w:ind w:left="870" w:hanging="720"/>
        <w:jc w:val="left"/>
      </w:pPr>
      <w:rPr>
        <w:rFonts w:hint="default"/>
      </w:rPr>
    </w:lvl>
    <w:lvl w:ilvl="1">
      <w:start w:val="1"/>
      <w:numFmt w:val="decimal"/>
      <w:lvlText w:val="%1.%2"/>
      <w:lvlJc w:val="left"/>
      <w:pPr>
        <w:ind w:left="870" w:hanging="720"/>
        <w:jc w:val="left"/>
      </w:pPr>
      <w:rPr>
        <w:rFonts w:hint="default" w:ascii="Arial" w:hAnsi="Arial" w:eastAsia="Arial" w:cs="Arial"/>
        <w:b/>
        <w:bCs/>
        <w:w w:val="100"/>
        <w:sz w:val="22"/>
        <w:szCs w:val="22"/>
      </w:rPr>
    </w:lvl>
    <w:lvl w:ilvl="2">
      <w:start w:val="0"/>
      <w:numFmt w:val="bullet"/>
      <w:lvlText w:val="•"/>
      <w:lvlJc w:val="left"/>
      <w:pPr>
        <w:ind w:left="2465" w:hanging="720"/>
      </w:pPr>
      <w:rPr>
        <w:rFonts w:hint="default"/>
      </w:rPr>
    </w:lvl>
    <w:lvl w:ilvl="3">
      <w:start w:val="0"/>
      <w:numFmt w:val="bullet"/>
      <w:lvlText w:val="•"/>
      <w:lvlJc w:val="left"/>
      <w:pPr>
        <w:ind w:left="3257" w:hanging="720"/>
      </w:pPr>
      <w:rPr>
        <w:rFonts w:hint="default"/>
      </w:rPr>
    </w:lvl>
    <w:lvl w:ilvl="4">
      <w:start w:val="0"/>
      <w:numFmt w:val="bullet"/>
      <w:lvlText w:val="•"/>
      <w:lvlJc w:val="left"/>
      <w:pPr>
        <w:ind w:left="4050" w:hanging="720"/>
      </w:pPr>
      <w:rPr>
        <w:rFonts w:hint="default"/>
      </w:rPr>
    </w:lvl>
    <w:lvl w:ilvl="5">
      <w:start w:val="0"/>
      <w:numFmt w:val="bullet"/>
      <w:lvlText w:val="•"/>
      <w:lvlJc w:val="left"/>
      <w:pPr>
        <w:ind w:left="4843" w:hanging="720"/>
      </w:pPr>
      <w:rPr>
        <w:rFonts w:hint="default"/>
      </w:rPr>
    </w:lvl>
    <w:lvl w:ilvl="6">
      <w:start w:val="0"/>
      <w:numFmt w:val="bullet"/>
      <w:lvlText w:val="•"/>
      <w:lvlJc w:val="left"/>
      <w:pPr>
        <w:ind w:left="5635" w:hanging="720"/>
      </w:pPr>
      <w:rPr>
        <w:rFonts w:hint="default"/>
      </w:rPr>
    </w:lvl>
    <w:lvl w:ilvl="7">
      <w:start w:val="0"/>
      <w:numFmt w:val="bullet"/>
      <w:lvlText w:val="•"/>
      <w:lvlJc w:val="left"/>
      <w:pPr>
        <w:ind w:left="6428" w:hanging="720"/>
      </w:pPr>
      <w:rPr>
        <w:rFonts w:hint="default"/>
      </w:rPr>
    </w:lvl>
    <w:lvl w:ilvl="8">
      <w:start w:val="0"/>
      <w:numFmt w:val="bullet"/>
      <w:lvlText w:val="•"/>
      <w:lvlJc w:val="left"/>
      <w:pPr>
        <w:ind w:left="7221" w:hanging="720"/>
      </w:pPr>
      <w:rPr>
        <w:rFonts w:hint="default"/>
      </w:rPr>
    </w:lvl>
  </w:abstractNum>
  <w:abstractNum w:abstractNumId="14">
    <w:multiLevelType w:val="hybridMultilevel"/>
    <w:lvl w:ilvl="0">
      <w:start w:val="3"/>
      <w:numFmt w:val="decimal"/>
      <w:lvlText w:val="%1"/>
      <w:lvlJc w:val="left"/>
      <w:pPr>
        <w:ind w:left="870" w:hanging="720"/>
        <w:jc w:val="left"/>
      </w:pPr>
      <w:rPr>
        <w:rFonts w:hint="default"/>
      </w:rPr>
    </w:lvl>
    <w:lvl w:ilvl="1">
      <w:start w:val="3"/>
      <w:numFmt w:val="decimal"/>
      <w:lvlText w:val="%1.%2"/>
      <w:lvlJc w:val="left"/>
      <w:pPr>
        <w:ind w:left="818" w:hanging="720"/>
        <w:jc w:val="left"/>
      </w:pPr>
      <w:rPr>
        <w:rFonts w:hint="default"/>
        <w:b/>
        <w:bCs/>
        <w:w w:val="100"/>
      </w:rPr>
    </w:lvl>
    <w:lvl w:ilvl="2">
      <w:start w:val="1"/>
      <w:numFmt w:val="lowerLetter"/>
      <w:lvlText w:val="(%3)"/>
      <w:lvlJc w:val="left"/>
      <w:pPr>
        <w:ind w:left="963" w:hanging="334"/>
        <w:jc w:val="right"/>
      </w:pPr>
      <w:rPr>
        <w:rFonts w:hint="default" w:ascii="Arial" w:hAnsi="Arial" w:eastAsia="Arial" w:cs="Arial"/>
        <w:b/>
        <w:bCs/>
        <w:spacing w:val="-1"/>
        <w:w w:val="100"/>
        <w:sz w:val="22"/>
        <w:szCs w:val="22"/>
      </w:rPr>
    </w:lvl>
    <w:lvl w:ilvl="3">
      <w:start w:val="0"/>
      <w:numFmt w:val="bullet"/>
      <w:lvlText w:val="•"/>
      <w:lvlJc w:val="left"/>
      <w:pPr>
        <w:ind w:left="1940" w:hanging="334"/>
      </w:pPr>
      <w:rPr>
        <w:rFonts w:hint="default"/>
      </w:rPr>
    </w:lvl>
    <w:lvl w:ilvl="4">
      <w:start w:val="0"/>
      <w:numFmt w:val="bullet"/>
      <w:lvlText w:val="•"/>
      <w:lvlJc w:val="left"/>
      <w:pPr>
        <w:ind w:left="2921" w:hanging="334"/>
      </w:pPr>
      <w:rPr>
        <w:rFonts w:hint="default"/>
      </w:rPr>
    </w:lvl>
    <w:lvl w:ilvl="5">
      <w:start w:val="0"/>
      <w:numFmt w:val="bullet"/>
      <w:lvlText w:val="•"/>
      <w:lvlJc w:val="left"/>
      <w:pPr>
        <w:ind w:left="3902" w:hanging="334"/>
      </w:pPr>
      <w:rPr>
        <w:rFonts w:hint="default"/>
      </w:rPr>
    </w:lvl>
    <w:lvl w:ilvl="6">
      <w:start w:val="0"/>
      <w:numFmt w:val="bullet"/>
      <w:lvlText w:val="•"/>
      <w:lvlJc w:val="left"/>
      <w:pPr>
        <w:ind w:left="4883" w:hanging="334"/>
      </w:pPr>
      <w:rPr>
        <w:rFonts w:hint="default"/>
      </w:rPr>
    </w:lvl>
    <w:lvl w:ilvl="7">
      <w:start w:val="0"/>
      <w:numFmt w:val="bullet"/>
      <w:lvlText w:val="•"/>
      <w:lvlJc w:val="left"/>
      <w:pPr>
        <w:ind w:left="5864" w:hanging="334"/>
      </w:pPr>
      <w:rPr>
        <w:rFonts w:hint="default"/>
      </w:rPr>
    </w:lvl>
    <w:lvl w:ilvl="8">
      <w:start w:val="0"/>
      <w:numFmt w:val="bullet"/>
      <w:lvlText w:val="•"/>
      <w:lvlJc w:val="left"/>
      <w:pPr>
        <w:ind w:left="6844" w:hanging="334"/>
      </w:pPr>
      <w:rPr>
        <w:rFonts w:hint="default"/>
      </w:rPr>
    </w:lvl>
  </w:abstractNum>
  <w:abstractNum w:abstractNumId="13">
    <w:multiLevelType w:val="hybridMultilevel"/>
    <w:lvl w:ilvl="0">
      <w:start w:val="0"/>
      <w:numFmt w:val="bullet"/>
      <w:lvlText w:val=""/>
      <w:lvlJc w:val="left"/>
      <w:pPr>
        <w:ind w:left="1679" w:hanging="1378"/>
      </w:pPr>
      <w:rPr>
        <w:rFonts w:hint="default" w:ascii="Wingdings" w:hAnsi="Wingdings" w:eastAsia="Wingdings" w:cs="Wingdings"/>
        <w:w w:val="100"/>
        <w:sz w:val="22"/>
        <w:szCs w:val="22"/>
      </w:rPr>
    </w:lvl>
    <w:lvl w:ilvl="1">
      <w:start w:val="0"/>
      <w:numFmt w:val="bullet"/>
      <w:lvlText w:val="•"/>
      <w:lvlJc w:val="left"/>
      <w:pPr>
        <w:ind w:left="1860" w:hanging="1378"/>
      </w:pPr>
      <w:rPr>
        <w:rFonts w:hint="default"/>
      </w:rPr>
    </w:lvl>
    <w:lvl w:ilvl="2">
      <w:start w:val="0"/>
      <w:numFmt w:val="bullet"/>
      <w:lvlText w:val="•"/>
      <w:lvlJc w:val="left"/>
      <w:pPr>
        <w:ind w:left="2041" w:hanging="1378"/>
      </w:pPr>
      <w:rPr>
        <w:rFonts w:hint="default"/>
      </w:rPr>
    </w:lvl>
    <w:lvl w:ilvl="3">
      <w:start w:val="0"/>
      <w:numFmt w:val="bullet"/>
      <w:lvlText w:val="•"/>
      <w:lvlJc w:val="left"/>
      <w:pPr>
        <w:ind w:left="2222" w:hanging="1378"/>
      </w:pPr>
      <w:rPr>
        <w:rFonts w:hint="default"/>
      </w:rPr>
    </w:lvl>
    <w:lvl w:ilvl="4">
      <w:start w:val="0"/>
      <w:numFmt w:val="bullet"/>
      <w:lvlText w:val="•"/>
      <w:lvlJc w:val="left"/>
      <w:pPr>
        <w:ind w:left="2403" w:hanging="1378"/>
      </w:pPr>
      <w:rPr>
        <w:rFonts w:hint="default"/>
      </w:rPr>
    </w:lvl>
    <w:lvl w:ilvl="5">
      <w:start w:val="0"/>
      <w:numFmt w:val="bullet"/>
      <w:lvlText w:val="•"/>
      <w:lvlJc w:val="left"/>
      <w:pPr>
        <w:ind w:left="2584" w:hanging="1378"/>
      </w:pPr>
      <w:rPr>
        <w:rFonts w:hint="default"/>
      </w:rPr>
    </w:lvl>
    <w:lvl w:ilvl="6">
      <w:start w:val="0"/>
      <w:numFmt w:val="bullet"/>
      <w:lvlText w:val="•"/>
      <w:lvlJc w:val="left"/>
      <w:pPr>
        <w:ind w:left="2765" w:hanging="1378"/>
      </w:pPr>
      <w:rPr>
        <w:rFonts w:hint="default"/>
      </w:rPr>
    </w:lvl>
    <w:lvl w:ilvl="7">
      <w:start w:val="0"/>
      <w:numFmt w:val="bullet"/>
      <w:lvlText w:val="•"/>
      <w:lvlJc w:val="left"/>
      <w:pPr>
        <w:ind w:left="2946" w:hanging="1378"/>
      </w:pPr>
      <w:rPr>
        <w:rFonts w:hint="default"/>
      </w:rPr>
    </w:lvl>
    <w:lvl w:ilvl="8">
      <w:start w:val="0"/>
      <w:numFmt w:val="bullet"/>
      <w:lvlText w:val="•"/>
      <w:lvlJc w:val="left"/>
      <w:pPr>
        <w:ind w:left="3127" w:hanging="1378"/>
      </w:pPr>
      <w:rPr>
        <w:rFonts w:hint="default"/>
      </w:rPr>
    </w:lvl>
  </w:abstractNum>
  <w:abstractNum w:abstractNumId="12">
    <w:multiLevelType w:val="hybridMultilevel"/>
    <w:lvl w:ilvl="0">
      <w:start w:val="0"/>
      <w:numFmt w:val="bullet"/>
      <w:lvlText w:val=""/>
      <w:lvlJc w:val="left"/>
      <w:pPr>
        <w:ind w:left="859" w:hanging="658"/>
      </w:pPr>
      <w:rPr>
        <w:rFonts w:hint="default" w:ascii="Wingdings" w:hAnsi="Wingdings" w:eastAsia="Wingdings" w:cs="Wingdings"/>
        <w:w w:val="100"/>
        <w:sz w:val="22"/>
        <w:szCs w:val="22"/>
      </w:rPr>
    </w:lvl>
    <w:lvl w:ilvl="1">
      <w:start w:val="0"/>
      <w:numFmt w:val="bullet"/>
      <w:lvlText w:val="•"/>
      <w:lvlJc w:val="left"/>
      <w:pPr>
        <w:ind w:left="909" w:hanging="658"/>
      </w:pPr>
      <w:rPr>
        <w:rFonts w:hint="default"/>
      </w:rPr>
    </w:lvl>
    <w:lvl w:ilvl="2">
      <w:start w:val="0"/>
      <w:numFmt w:val="bullet"/>
      <w:lvlText w:val="•"/>
      <w:lvlJc w:val="left"/>
      <w:pPr>
        <w:ind w:left="959" w:hanging="658"/>
      </w:pPr>
      <w:rPr>
        <w:rFonts w:hint="default"/>
      </w:rPr>
    </w:lvl>
    <w:lvl w:ilvl="3">
      <w:start w:val="0"/>
      <w:numFmt w:val="bullet"/>
      <w:lvlText w:val="•"/>
      <w:lvlJc w:val="left"/>
      <w:pPr>
        <w:ind w:left="1009" w:hanging="658"/>
      </w:pPr>
      <w:rPr>
        <w:rFonts w:hint="default"/>
      </w:rPr>
    </w:lvl>
    <w:lvl w:ilvl="4">
      <w:start w:val="0"/>
      <w:numFmt w:val="bullet"/>
      <w:lvlText w:val="•"/>
      <w:lvlJc w:val="left"/>
      <w:pPr>
        <w:ind w:left="1059" w:hanging="658"/>
      </w:pPr>
      <w:rPr>
        <w:rFonts w:hint="default"/>
      </w:rPr>
    </w:lvl>
    <w:lvl w:ilvl="5">
      <w:start w:val="0"/>
      <w:numFmt w:val="bullet"/>
      <w:lvlText w:val="•"/>
      <w:lvlJc w:val="left"/>
      <w:pPr>
        <w:ind w:left="1109" w:hanging="658"/>
      </w:pPr>
      <w:rPr>
        <w:rFonts w:hint="default"/>
      </w:rPr>
    </w:lvl>
    <w:lvl w:ilvl="6">
      <w:start w:val="0"/>
      <w:numFmt w:val="bullet"/>
      <w:lvlText w:val="•"/>
      <w:lvlJc w:val="left"/>
      <w:pPr>
        <w:ind w:left="1159" w:hanging="658"/>
      </w:pPr>
      <w:rPr>
        <w:rFonts w:hint="default"/>
      </w:rPr>
    </w:lvl>
    <w:lvl w:ilvl="7">
      <w:start w:val="0"/>
      <w:numFmt w:val="bullet"/>
      <w:lvlText w:val="•"/>
      <w:lvlJc w:val="left"/>
      <w:pPr>
        <w:ind w:left="1209" w:hanging="658"/>
      </w:pPr>
      <w:rPr>
        <w:rFonts w:hint="default"/>
      </w:rPr>
    </w:lvl>
    <w:lvl w:ilvl="8">
      <w:start w:val="0"/>
      <w:numFmt w:val="bullet"/>
      <w:lvlText w:val="•"/>
      <w:lvlJc w:val="left"/>
      <w:pPr>
        <w:ind w:left="1259" w:hanging="658"/>
      </w:pPr>
      <w:rPr>
        <w:rFonts w:hint="default"/>
      </w:rPr>
    </w:lvl>
  </w:abstractNum>
  <w:abstractNum w:abstractNumId="11">
    <w:multiLevelType w:val="hybridMultilevel"/>
    <w:lvl w:ilvl="0">
      <w:start w:val="1"/>
      <w:numFmt w:val="lowerLetter"/>
      <w:lvlText w:val="(%1)"/>
      <w:lvlJc w:val="left"/>
      <w:pPr>
        <w:ind w:left="818" w:hanging="720"/>
        <w:jc w:val="left"/>
      </w:pPr>
      <w:rPr>
        <w:rFonts w:hint="default" w:ascii="Arial" w:hAnsi="Arial" w:eastAsia="Arial" w:cs="Arial"/>
        <w:b/>
        <w:bCs/>
        <w:w w:val="100"/>
        <w:sz w:val="22"/>
        <w:szCs w:val="22"/>
      </w:rPr>
    </w:lvl>
    <w:lvl w:ilvl="1">
      <w:start w:val="0"/>
      <w:numFmt w:val="bullet"/>
      <w:lvlText w:val="•"/>
      <w:lvlJc w:val="left"/>
      <w:pPr>
        <w:ind w:left="1644" w:hanging="720"/>
      </w:pPr>
      <w:rPr>
        <w:rFonts w:hint="default"/>
      </w:rPr>
    </w:lvl>
    <w:lvl w:ilvl="2">
      <w:start w:val="0"/>
      <w:numFmt w:val="bullet"/>
      <w:lvlText w:val="•"/>
      <w:lvlJc w:val="left"/>
      <w:pPr>
        <w:ind w:left="2469" w:hanging="720"/>
      </w:pPr>
      <w:rPr>
        <w:rFonts w:hint="default"/>
      </w:rPr>
    </w:lvl>
    <w:lvl w:ilvl="3">
      <w:start w:val="0"/>
      <w:numFmt w:val="bullet"/>
      <w:lvlText w:val="•"/>
      <w:lvlJc w:val="left"/>
      <w:pPr>
        <w:ind w:left="3293" w:hanging="720"/>
      </w:pPr>
      <w:rPr>
        <w:rFonts w:hint="default"/>
      </w:rPr>
    </w:lvl>
    <w:lvl w:ilvl="4">
      <w:start w:val="0"/>
      <w:numFmt w:val="bullet"/>
      <w:lvlText w:val="•"/>
      <w:lvlJc w:val="left"/>
      <w:pPr>
        <w:ind w:left="4118" w:hanging="720"/>
      </w:pPr>
      <w:rPr>
        <w:rFonts w:hint="default"/>
      </w:rPr>
    </w:lvl>
    <w:lvl w:ilvl="5">
      <w:start w:val="0"/>
      <w:numFmt w:val="bullet"/>
      <w:lvlText w:val="•"/>
      <w:lvlJc w:val="left"/>
      <w:pPr>
        <w:ind w:left="4943" w:hanging="720"/>
      </w:pPr>
      <w:rPr>
        <w:rFonts w:hint="default"/>
      </w:rPr>
    </w:lvl>
    <w:lvl w:ilvl="6">
      <w:start w:val="0"/>
      <w:numFmt w:val="bullet"/>
      <w:lvlText w:val="•"/>
      <w:lvlJc w:val="left"/>
      <w:pPr>
        <w:ind w:left="5767" w:hanging="720"/>
      </w:pPr>
      <w:rPr>
        <w:rFonts w:hint="default"/>
      </w:rPr>
    </w:lvl>
    <w:lvl w:ilvl="7">
      <w:start w:val="0"/>
      <w:numFmt w:val="bullet"/>
      <w:lvlText w:val="•"/>
      <w:lvlJc w:val="left"/>
      <w:pPr>
        <w:ind w:left="6592" w:hanging="720"/>
      </w:pPr>
      <w:rPr>
        <w:rFonts w:hint="default"/>
      </w:rPr>
    </w:lvl>
    <w:lvl w:ilvl="8">
      <w:start w:val="0"/>
      <w:numFmt w:val="bullet"/>
      <w:lvlText w:val="•"/>
      <w:lvlJc w:val="left"/>
      <w:pPr>
        <w:ind w:left="7417" w:hanging="720"/>
      </w:pPr>
      <w:rPr>
        <w:rFonts w:hint="default"/>
      </w:rPr>
    </w:lvl>
  </w:abstractNum>
  <w:abstractNum w:abstractNumId="10">
    <w:multiLevelType w:val="hybridMultilevel"/>
    <w:lvl w:ilvl="0">
      <w:start w:val="2"/>
      <w:numFmt w:val="decimal"/>
      <w:lvlText w:val="%1"/>
      <w:lvlJc w:val="left"/>
      <w:pPr>
        <w:ind w:left="830" w:hanging="720"/>
        <w:jc w:val="left"/>
      </w:pPr>
      <w:rPr>
        <w:rFonts w:hint="default"/>
      </w:rPr>
    </w:lvl>
    <w:lvl w:ilvl="1">
      <w:start w:val="1"/>
      <w:numFmt w:val="decimal"/>
      <w:lvlText w:val="%1.%2"/>
      <w:lvlJc w:val="left"/>
      <w:pPr>
        <w:ind w:left="830" w:hanging="720"/>
        <w:jc w:val="left"/>
      </w:pPr>
      <w:rPr>
        <w:rFonts w:hint="default" w:ascii="Arial" w:hAnsi="Arial" w:eastAsia="Arial" w:cs="Arial"/>
        <w:b/>
        <w:bCs/>
        <w:w w:val="100"/>
        <w:sz w:val="22"/>
        <w:szCs w:val="22"/>
      </w:rPr>
    </w:lvl>
    <w:lvl w:ilvl="2">
      <w:start w:val="0"/>
      <w:numFmt w:val="bullet"/>
      <w:lvlText w:val="•"/>
      <w:lvlJc w:val="left"/>
      <w:pPr>
        <w:ind w:left="2485" w:hanging="720"/>
      </w:pPr>
      <w:rPr>
        <w:rFonts w:hint="default"/>
      </w:rPr>
    </w:lvl>
    <w:lvl w:ilvl="3">
      <w:start w:val="0"/>
      <w:numFmt w:val="bullet"/>
      <w:lvlText w:val="•"/>
      <w:lvlJc w:val="left"/>
      <w:pPr>
        <w:ind w:left="3307" w:hanging="720"/>
      </w:pPr>
      <w:rPr>
        <w:rFonts w:hint="default"/>
      </w:rPr>
    </w:lvl>
    <w:lvl w:ilvl="4">
      <w:start w:val="0"/>
      <w:numFmt w:val="bullet"/>
      <w:lvlText w:val="•"/>
      <w:lvlJc w:val="left"/>
      <w:pPr>
        <w:ind w:left="4130" w:hanging="720"/>
      </w:pPr>
      <w:rPr>
        <w:rFonts w:hint="default"/>
      </w:rPr>
    </w:lvl>
    <w:lvl w:ilvl="5">
      <w:start w:val="0"/>
      <w:numFmt w:val="bullet"/>
      <w:lvlText w:val="•"/>
      <w:lvlJc w:val="left"/>
      <w:pPr>
        <w:ind w:left="4953" w:hanging="720"/>
      </w:pPr>
      <w:rPr>
        <w:rFonts w:hint="default"/>
      </w:rPr>
    </w:lvl>
    <w:lvl w:ilvl="6">
      <w:start w:val="0"/>
      <w:numFmt w:val="bullet"/>
      <w:lvlText w:val="•"/>
      <w:lvlJc w:val="left"/>
      <w:pPr>
        <w:ind w:left="5775" w:hanging="720"/>
      </w:pPr>
      <w:rPr>
        <w:rFonts w:hint="default"/>
      </w:rPr>
    </w:lvl>
    <w:lvl w:ilvl="7">
      <w:start w:val="0"/>
      <w:numFmt w:val="bullet"/>
      <w:lvlText w:val="•"/>
      <w:lvlJc w:val="left"/>
      <w:pPr>
        <w:ind w:left="6598" w:hanging="720"/>
      </w:pPr>
      <w:rPr>
        <w:rFonts w:hint="default"/>
      </w:rPr>
    </w:lvl>
    <w:lvl w:ilvl="8">
      <w:start w:val="0"/>
      <w:numFmt w:val="bullet"/>
      <w:lvlText w:val="•"/>
      <w:lvlJc w:val="left"/>
      <w:pPr>
        <w:ind w:left="7421" w:hanging="720"/>
      </w:pPr>
      <w:rPr>
        <w:rFonts w:hint="default"/>
      </w:rPr>
    </w:lvl>
  </w:abstractNum>
  <w:abstractNum w:abstractNumId="9">
    <w:multiLevelType w:val="hybridMultilevel"/>
    <w:lvl w:ilvl="0">
      <w:start w:val="1"/>
      <w:numFmt w:val="decimal"/>
      <w:lvlText w:val="%1"/>
      <w:lvlJc w:val="left"/>
      <w:pPr>
        <w:ind w:left="830" w:hanging="720"/>
        <w:jc w:val="left"/>
      </w:pPr>
      <w:rPr>
        <w:rFonts w:hint="default"/>
      </w:rPr>
    </w:lvl>
    <w:lvl w:ilvl="1">
      <w:start w:val="1"/>
      <w:numFmt w:val="decimal"/>
      <w:lvlText w:val="%1.%2"/>
      <w:lvlJc w:val="left"/>
      <w:pPr>
        <w:ind w:left="830" w:hanging="720"/>
        <w:jc w:val="left"/>
      </w:pPr>
      <w:rPr>
        <w:rFonts w:hint="default" w:ascii="Arial" w:hAnsi="Arial" w:eastAsia="Arial" w:cs="Arial"/>
        <w:b/>
        <w:bCs/>
        <w:w w:val="100"/>
        <w:sz w:val="22"/>
        <w:szCs w:val="22"/>
      </w:rPr>
    </w:lvl>
    <w:lvl w:ilvl="2">
      <w:start w:val="0"/>
      <w:numFmt w:val="bullet"/>
      <w:lvlText w:val="•"/>
      <w:lvlJc w:val="left"/>
      <w:pPr>
        <w:ind w:left="2425" w:hanging="720"/>
      </w:pPr>
      <w:rPr>
        <w:rFonts w:hint="default"/>
      </w:rPr>
    </w:lvl>
    <w:lvl w:ilvl="3">
      <w:start w:val="0"/>
      <w:numFmt w:val="bullet"/>
      <w:lvlText w:val="•"/>
      <w:lvlJc w:val="left"/>
      <w:pPr>
        <w:ind w:left="3217" w:hanging="720"/>
      </w:pPr>
      <w:rPr>
        <w:rFonts w:hint="default"/>
      </w:rPr>
    </w:lvl>
    <w:lvl w:ilvl="4">
      <w:start w:val="0"/>
      <w:numFmt w:val="bullet"/>
      <w:lvlText w:val="•"/>
      <w:lvlJc w:val="left"/>
      <w:pPr>
        <w:ind w:left="4010" w:hanging="720"/>
      </w:pPr>
      <w:rPr>
        <w:rFonts w:hint="default"/>
      </w:rPr>
    </w:lvl>
    <w:lvl w:ilvl="5">
      <w:start w:val="0"/>
      <w:numFmt w:val="bullet"/>
      <w:lvlText w:val="•"/>
      <w:lvlJc w:val="left"/>
      <w:pPr>
        <w:ind w:left="4803" w:hanging="720"/>
      </w:pPr>
      <w:rPr>
        <w:rFonts w:hint="default"/>
      </w:rPr>
    </w:lvl>
    <w:lvl w:ilvl="6">
      <w:start w:val="0"/>
      <w:numFmt w:val="bullet"/>
      <w:lvlText w:val="•"/>
      <w:lvlJc w:val="left"/>
      <w:pPr>
        <w:ind w:left="5595" w:hanging="720"/>
      </w:pPr>
      <w:rPr>
        <w:rFonts w:hint="default"/>
      </w:rPr>
    </w:lvl>
    <w:lvl w:ilvl="7">
      <w:start w:val="0"/>
      <w:numFmt w:val="bullet"/>
      <w:lvlText w:val="•"/>
      <w:lvlJc w:val="left"/>
      <w:pPr>
        <w:ind w:left="6388" w:hanging="720"/>
      </w:pPr>
      <w:rPr>
        <w:rFonts w:hint="default"/>
      </w:rPr>
    </w:lvl>
    <w:lvl w:ilvl="8">
      <w:start w:val="0"/>
      <w:numFmt w:val="bullet"/>
      <w:lvlText w:val="•"/>
      <w:lvlJc w:val="left"/>
      <w:pPr>
        <w:ind w:left="7181" w:hanging="720"/>
      </w:pPr>
      <w:rPr>
        <w:rFonts w:hint="default"/>
      </w:rPr>
    </w:lvl>
  </w:abstractNum>
  <w:abstractNum w:abstractNumId="8">
    <w:multiLevelType w:val="hybridMultilevel"/>
    <w:lvl w:ilvl="0">
      <w:start w:val="0"/>
      <w:numFmt w:val="bullet"/>
      <w:lvlText w:val="-"/>
      <w:lvlJc w:val="left"/>
      <w:pPr>
        <w:ind w:left="1190" w:hanging="360"/>
      </w:pPr>
      <w:rPr>
        <w:rFonts w:hint="default" w:ascii="Arial" w:hAnsi="Arial" w:eastAsia="Arial" w:cs="Arial"/>
        <w:spacing w:val="-4"/>
        <w:w w:val="99"/>
        <w:sz w:val="24"/>
        <w:szCs w:val="24"/>
      </w:rPr>
    </w:lvl>
    <w:lvl w:ilvl="1">
      <w:start w:val="0"/>
      <w:numFmt w:val="bullet"/>
      <w:lvlText w:val="•"/>
      <w:lvlJc w:val="left"/>
      <w:pPr>
        <w:ind w:left="2020" w:hanging="360"/>
      </w:pPr>
      <w:rPr>
        <w:rFonts w:hint="default"/>
      </w:rPr>
    </w:lvl>
    <w:lvl w:ilvl="2">
      <w:start w:val="0"/>
      <w:numFmt w:val="bullet"/>
      <w:lvlText w:val="•"/>
      <w:lvlJc w:val="left"/>
      <w:pPr>
        <w:ind w:left="2841" w:hanging="360"/>
      </w:pPr>
      <w:rPr>
        <w:rFonts w:hint="default"/>
      </w:rPr>
    </w:lvl>
    <w:lvl w:ilvl="3">
      <w:start w:val="0"/>
      <w:numFmt w:val="bullet"/>
      <w:lvlText w:val="•"/>
      <w:lvlJc w:val="left"/>
      <w:pPr>
        <w:ind w:left="3661" w:hanging="360"/>
      </w:pPr>
      <w:rPr>
        <w:rFonts w:hint="default"/>
      </w:rPr>
    </w:lvl>
    <w:lvl w:ilvl="4">
      <w:start w:val="0"/>
      <w:numFmt w:val="bullet"/>
      <w:lvlText w:val="•"/>
      <w:lvlJc w:val="left"/>
      <w:pPr>
        <w:ind w:left="4482" w:hanging="360"/>
      </w:pPr>
      <w:rPr>
        <w:rFonts w:hint="default"/>
      </w:rPr>
    </w:lvl>
    <w:lvl w:ilvl="5">
      <w:start w:val="0"/>
      <w:numFmt w:val="bullet"/>
      <w:lvlText w:val="•"/>
      <w:lvlJc w:val="left"/>
      <w:pPr>
        <w:ind w:left="5303" w:hanging="360"/>
      </w:pPr>
      <w:rPr>
        <w:rFonts w:hint="default"/>
      </w:rPr>
    </w:lvl>
    <w:lvl w:ilvl="6">
      <w:start w:val="0"/>
      <w:numFmt w:val="bullet"/>
      <w:lvlText w:val="•"/>
      <w:lvlJc w:val="left"/>
      <w:pPr>
        <w:ind w:left="6123" w:hanging="360"/>
      </w:pPr>
      <w:rPr>
        <w:rFonts w:hint="default"/>
      </w:rPr>
    </w:lvl>
    <w:lvl w:ilvl="7">
      <w:start w:val="0"/>
      <w:numFmt w:val="bullet"/>
      <w:lvlText w:val="•"/>
      <w:lvlJc w:val="left"/>
      <w:pPr>
        <w:ind w:left="6944" w:hanging="360"/>
      </w:pPr>
      <w:rPr>
        <w:rFonts w:hint="default"/>
      </w:rPr>
    </w:lvl>
    <w:lvl w:ilvl="8">
      <w:start w:val="0"/>
      <w:numFmt w:val="bullet"/>
      <w:lvlText w:val="•"/>
      <w:lvlJc w:val="left"/>
      <w:pPr>
        <w:ind w:left="7765" w:hanging="360"/>
      </w:pPr>
      <w:rPr>
        <w:rFonts w:hint="default"/>
      </w:rPr>
    </w:lvl>
  </w:abstractNum>
  <w:abstractNum w:abstractNumId="7">
    <w:multiLevelType w:val="hybridMultilevel"/>
    <w:lvl w:ilvl="0">
      <w:start w:val="6"/>
      <w:numFmt w:val="decimal"/>
      <w:lvlText w:val="%1"/>
      <w:lvlJc w:val="left"/>
      <w:pPr>
        <w:ind w:left="830" w:hanging="720"/>
        <w:jc w:val="left"/>
      </w:pPr>
      <w:rPr>
        <w:rFonts w:hint="default"/>
      </w:rPr>
    </w:lvl>
    <w:lvl w:ilvl="1">
      <w:start w:val="1"/>
      <w:numFmt w:val="decimal"/>
      <w:lvlText w:val="%1.%2"/>
      <w:lvlJc w:val="left"/>
      <w:pPr>
        <w:ind w:left="830" w:hanging="720"/>
        <w:jc w:val="left"/>
      </w:pPr>
      <w:rPr>
        <w:rFonts w:hint="default"/>
        <w:w w:val="99"/>
        <w:highlight w:val="lightGray"/>
      </w:rPr>
    </w:lvl>
    <w:lvl w:ilvl="2">
      <w:start w:val="0"/>
      <w:numFmt w:val="bullet"/>
      <w:lvlText w:val="•"/>
      <w:lvlJc w:val="left"/>
      <w:pPr>
        <w:ind w:left="2565" w:hanging="720"/>
      </w:pPr>
      <w:rPr>
        <w:rFonts w:hint="default"/>
      </w:rPr>
    </w:lvl>
    <w:lvl w:ilvl="3">
      <w:start w:val="0"/>
      <w:numFmt w:val="bullet"/>
      <w:lvlText w:val="•"/>
      <w:lvlJc w:val="left"/>
      <w:pPr>
        <w:ind w:left="3427" w:hanging="720"/>
      </w:pPr>
      <w:rPr>
        <w:rFonts w:hint="default"/>
      </w:rPr>
    </w:lvl>
    <w:lvl w:ilvl="4">
      <w:start w:val="0"/>
      <w:numFmt w:val="bullet"/>
      <w:lvlText w:val="•"/>
      <w:lvlJc w:val="left"/>
      <w:pPr>
        <w:ind w:left="4290" w:hanging="720"/>
      </w:pPr>
      <w:rPr>
        <w:rFonts w:hint="default"/>
      </w:rPr>
    </w:lvl>
    <w:lvl w:ilvl="5">
      <w:start w:val="0"/>
      <w:numFmt w:val="bullet"/>
      <w:lvlText w:val="•"/>
      <w:lvlJc w:val="left"/>
      <w:pPr>
        <w:ind w:left="5153" w:hanging="720"/>
      </w:pPr>
      <w:rPr>
        <w:rFonts w:hint="default"/>
      </w:rPr>
    </w:lvl>
    <w:lvl w:ilvl="6">
      <w:start w:val="0"/>
      <w:numFmt w:val="bullet"/>
      <w:lvlText w:val="•"/>
      <w:lvlJc w:val="left"/>
      <w:pPr>
        <w:ind w:left="6015" w:hanging="720"/>
      </w:pPr>
      <w:rPr>
        <w:rFonts w:hint="default"/>
      </w:rPr>
    </w:lvl>
    <w:lvl w:ilvl="7">
      <w:start w:val="0"/>
      <w:numFmt w:val="bullet"/>
      <w:lvlText w:val="•"/>
      <w:lvlJc w:val="left"/>
      <w:pPr>
        <w:ind w:left="6878" w:hanging="720"/>
      </w:pPr>
      <w:rPr>
        <w:rFonts w:hint="default"/>
      </w:rPr>
    </w:lvl>
    <w:lvl w:ilvl="8">
      <w:start w:val="0"/>
      <w:numFmt w:val="bullet"/>
      <w:lvlText w:val="•"/>
      <w:lvlJc w:val="left"/>
      <w:pPr>
        <w:ind w:left="7741" w:hanging="720"/>
      </w:pPr>
      <w:rPr>
        <w:rFonts w:hint="default"/>
      </w:rPr>
    </w:lvl>
  </w:abstractNum>
  <w:abstractNum w:abstractNumId="6">
    <w:multiLevelType w:val="hybridMultilevel"/>
    <w:lvl w:ilvl="0">
      <w:start w:val="5"/>
      <w:numFmt w:val="decimal"/>
      <w:lvlText w:val="%1"/>
      <w:lvlJc w:val="left"/>
      <w:pPr>
        <w:ind w:left="830" w:hanging="720"/>
        <w:jc w:val="left"/>
      </w:pPr>
      <w:rPr>
        <w:rFonts w:hint="default"/>
      </w:rPr>
    </w:lvl>
    <w:lvl w:ilvl="1">
      <w:start w:val="1"/>
      <w:numFmt w:val="decimal"/>
      <w:lvlText w:val="%1.%2"/>
      <w:lvlJc w:val="left"/>
      <w:pPr>
        <w:ind w:left="830" w:hanging="720"/>
        <w:jc w:val="left"/>
      </w:pPr>
      <w:rPr>
        <w:rFonts w:hint="default"/>
        <w:w w:val="99"/>
        <w:highlight w:val="lightGray"/>
      </w:rPr>
    </w:lvl>
    <w:lvl w:ilvl="2">
      <w:start w:val="0"/>
      <w:numFmt w:val="bullet"/>
      <w:lvlText w:val="•"/>
      <w:lvlJc w:val="left"/>
      <w:pPr>
        <w:ind w:left="2565" w:hanging="720"/>
      </w:pPr>
      <w:rPr>
        <w:rFonts w:hint="default"/>
      </w:rPr>
    </w:lvl>
    <w:lvl w:ilvl="3">
      <w:start w:val="0"/>
      <w:numFmt w:val="bullet"/>
      <w:lvlText w:val="•"/>
      <w:lvlJc w:val="left"/>
      <w:pPr>
        <w:ind w:left="3427" w:hanging="720"/>
      </w:pPr>
      <w:rPr>
        <w:rFonts w:hint="default"/>
      </w:rPr>
    </w:lvl>
    <w:lvl w:ilvl="4">
      <w:start w:val="0"/>
      <w:numFmt w:val="bullet"/>
      <w:lvlText w:val="•"/>
      <w:lvlJc w:val="left"/>
      <w:pPr>
        <w:ind w:left="4290" w:hanging="720"/>
      </w:pPr>
      <w:rPr>
        <w:rFonts w:hint="default"/>
      </w:rPr>
    </w:lvl>
    <w:lvl w:ilvl="5">
      <w:start w:val="0"/>
      <w:numFmt w:val="bullet"/>
      <w:lvlText w:val="•"/>
      <w:lvlJc w:val="left"/>
      <w:pPr>
        <w:ind w:left="5153" w:hanging="720"/>
      </w:pPr>
      <w:rPr>
        <w:rFonts w:hint="default"/>
      </w:rPr>
    </w:lvl>
    <w:lvl w:ilvl="6">
      <w:start w:val="0"/>
      <w:numFmt w:val="bullet"/>
      <w:lvlText w:val="•"/>
      <w:lvlJc w:val="left"/>
      <w:pPr>
        <w:ind w:left="6015" w:hanging="720"/>
      </w:pPr>
      <w:rPr>
        <w:rFonts w:hint="default"/>
      </w:rPr>
    </w:lvl>
    <w:lvl w:ilvl="7">
      <w:start w:val="0"/>
      <w:numFmt w:val="bullet"/>
      <w:lvlText w:val="•"/>
      <w:lvlJc w:val="left"/>
      <w:pPr>
        <w:ind w:left="6878" w:hanging="720"/>
      </w:pPr>
      <w:rPr>
        <w:rFonts w:hint="default"/>
      </w:rPr>
    </w:lvl>
    <w:lvl w:ilvl="8">
      <w:start w:val="0"/>
      <w:numFmt w:val="bullet"/>
      <w:lvlText w:val="•"/>
      <w:lvlJc w:val="left"/>
      <w:pPr>
        <w:ind w:left="7741" w:hanging="720"/>
      </w:pPr>
      <w:rPr>
        <w:rFonts w:hint="default"/>
      </w:rPr>
    </w:lvl>
  </w:abstractNum>
  <w:abstractNum w:abstractNumId="5">
    <w:multiLevelType w:val="hybridMultilevel"/>
    <w:lvl w:ilvl="0">
      <w:start w:val="0"/>
      <w:numFmt w:val="bullet"/>
      <w:lvlText w:val=""/>
      <w:lvlJc w:val="left"/>
      <w:pPr>
        <w:ind w:left="110" w:hanging="360"/>
      </w:pPr>
      <w:rPr>
        <w:rFonts w:hint="default" w:ascii="Symbol" w:hAnsi="Symbol" w:eastAsia="Symbol" w:cs="Symbol"/>
        <w:w w:val="76"/>
        <w:sz w:val="24"/>
        <w:szCs w:val="24"/>
      </w:rPr>
    </w:lvl>
    <w:lvl w:ilvl="1">
      <w:start w:val="0"/>
      <w:numFmt w:val="bullet"/>
      <w:lvlText w:val="•"/>
      <w:lvlJc w:val="left"/>
      <w:pPr>
        <w:ind w:left="1054" w:hanging="360"/>
      </w:pPr>
      <w:rPr>
        <w:rFonts w:hint="default"/>
      </w:rPr>
    </w:lvl>
    <w:lvl w:ilvl="2">
      <w:start w:val="0"/>
      <w:numFmt w:val="bullet"/>
      <w:lvlText w:val="•"/>
      <w:lvlJc w:val="left"/>
      <w:pPr>
        <w:ind w:left="1989" w:hanging="360"/>
      </w:pPr>
      <w:rPr>
        <w:rFonts w:hint="default"/>
      </w:rPr>
    </w:lvl>
    <w:lvl w:ilvl="3">
      <w:start w:val="0"/>
      <w:numFmt w:val="bullet"/>
      <w:lvlText w:val="•"/>
      <w:lvlJc w:val="left"/>
      <w:pPr>
        <w:ind w:left="2923" w:hanging="360"/>
      </w:pPr>
      <w:rPr>
        <w:rFonts w:hint="default"/>
      </w:rPr>
    </w:lvl>
    <w:lvl w:ilvl="4">
      <w:start w:val="0"/>
      <w:numFmt w:val="bullet"/>
      <w:lvlText w:val="•"/>
      <w:lvlJc w:val="left"/>
      <w:pPr>
        <w:ind w:left="3858" w:hanging="360"/>
      </w:pPr>
      <w:rPr>
        <w:rFonts w:hint="default"/>
      </w:rPr>
    </w:lvl>
    <w:lvl w:ilvl="5">
      <w:start w:val="0"/>
      <w:numFmt w:val="bullet"/>
      <w:lvlText w:val="•"/>
      <w:lvlJc w:val="left"/>
      <w:pPr>
        <w:ind w:left="4793" w:hanging="360"/>
      </w:pPr>
      <w:rPr>
        <w:rFonts w:hint="default"/>
      </w:rPr>
    </w:lvl>
    <w:lvl w:ilvl="6">
      <w:start w:val="0"/>
      <w:numFmt w:val="bullet"/>
      <w:lvlText w:val="•"/>
      <w:lvlJc w:val="left"/>
      <w:pPr>
        <w:ind w:left="5727" w:hanging="360"/>
      </w:pPr>
      <w:rPr>
        <w:rFonts w:hint="default"/>
      </w:rPr>
    </w:lvl>
    <w:lvl w:ilvl="7">
      <w:start w:val="0"/>
      <w:numFmt w:val="bullet"/>
      <w:lvlText w:val="•"/>
      <w:lvlJc w:val="left"/>
      <w:pPr>
        <w:ind w:left="6662" w:hanging="360"/>
      </w:pPr>
      <w:rPr>
        <w:rFonts w:hint="default"/>
      </w:rPr>
    </w:lvl>
    <w:lvl w:ilvl="8">
      <w:start w:val="0"/>
      <w:numFmt w:val="bullet"/>
      <w:lvlText w:val="•"/>
      <w:lvlJc w:val="left"/>
      <w:pPr>
        <w:ind w:left="7597" w:hanging="360"/>
      </w:pPr>
      <w:rPr>
        <w:rFonts w:hint="default"/>
      </w:rPr>
    </w:lvl>
  </w:abstractNum>
  <w:abstractNum w:abstractNumId="4">
    <w:multiLevelType w:val="hybridMultilevel"/>
    <w:lvl w:ilvl="0">
      <w:start w:val="1"/>
      <w:numFmt w:val="decimal"/>
      <w:lvlText w:val="%1."/>
      <w:lvlJc w:val="left"/>
      <w:pPr>
        <w:ind w:left="753" w:hanging="360"/>
        <w:jc w:val="left"/>
      </w:pPr>
      <w:rPr>
        <w:rFonts w:hint="default" w:ascii="Arial" w:hAnsi="Arial" w:eastAsia="Arial" w:cs="Arial"/>
        <w:spacing w:val="-3"/>
        <w:w w:val="99"/>
        <w:sz w:val="24"/>
        <w:szCs w:val="24"/>
      </w:rPr>
    </w:lvl>
    <w:lvl w:ilvl="1">
      <w:start w:val="0"/>
      <w:numFmt w:val="bullet"/>
      <w:lvlText w:val="•"/>
      <w:lvlJc w:val="left"/>
      <w:pPr>
        <w:ind w:left="1610" w:hanging="360"/>
      </w:pPr>
      <w:rPr>
        <w:rFonts w:hint="default"/>
      </w:rPr>
    </w:lvl>
    <w:lvl w:ilvl="2">
      <w:start w:val="0"/>
      <w:numFmt w:val="bullet"/>
      <w:lvlText w:val="•"/>
      <w:lvlJc w:val="left"/>
      <w:pPr>
        <w:ind w:left="2461" w:hanging="360"/>
      </w:pPr>
      <w:rPr>
        <w:rFonts w:hint="default"/>
      </w:rPr>
    </w:lvl>
    <w:lvl w:ilvl="3">
      <w:start w:val="0"/>
      <w:numFmt w:val="bullet"/>
      <w:lvlText w:val="•"/>
      <w:lvlJc w:val="left"/>
      <w:pPr>
        <w:ind w:left="3311" w:hanging="360"/>
      </w:pPr>
      <w:rPr>
        <w:rFonts w:hint="default"/>
      </w:rPr>
    </w:lvl>
    <w:lvl w:ilvl="4">
      <w:start w:val="0"/>
      <w:numFmt w:val="bullet"/>
      <w:lvlText w:val="•"/>
      <w:lvlJc w:val="left"/>
      <w:pPr>
        <w:ind w:left="4162" w:hanging="360"/>
      </w:pPr>
      <w:rPr>
        <w:rFonts w:hint="default"/>
      </w:rPr>
    </w:lvl>
    <w:lvl w:ilvl="5">
      <w:start w:val="0"/>
      <w:numFmt w:val="bullet"/>
      <w:lvlText w:val="•"/>
      <w:lvlJc w:val="left"/>
      <w:pPr>
        <w:ind w:left="5013"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714" w:hanging="360"/>
      </w:pPr>
      <w:rPr>
        <w:rFonts w:hint="default"/>
      </w:rPr>
    </w:lvl>
    <w:lvl w:ilvl="8">
      <w:start w:val="0"/>
      <w:numFmt w:val="bullet"/>
      <w:lvlText w:val="•"/>
      <w:lvlJc w:val="left"/>
      <w:pPr>
        <w:ind w:left="7565" w:hanging="360"/>
      </w:pPr>
      <w:rPr>
        <w:rFonts w:hint="default"/>
      </w:rPr>
    </w:lvl>
  </w:abstractNum>
  <w:abstractNum w:abstractNumId="3">
    <w:multiLevelType w:val="hybridMultilevel"/>
    <w:lvl w:ilvl="0">
      <w:start w:val="0"/>
      <w:numFmt w:val="bullet"/>
      <w:lvlText w:val=""/>
      <w:lvlJc w:val="left"/>
      <w:pPr>
        <w:ind w:left="830" w:hanging="360"/>
      </w:pPr>
      <w:rPr>
        <w:rFonts w:hint="default" w:ascii="Symbol" w:hAnsi="Symbol" w:eastAsia="Symbol" w:cs="Symbol"/>
        <w:w w:val="76"/>
        <w:sz w:val="24"/>
        <w:szCs w:val="24"/>
      </w:rPr>
    </w:lvl>
    <w:lvl w:ilvl="1">
      <w:start w:val="0"/>
      <w:numFmt w:val="bullet"/>
      <w:lvlText w:val="•"/>
      <w:lvlJc w:val="left"/>
      <w:pPr>
        <w:ind w:left="1698" w:hanging="360"/>
      </w:pPr>
      <w:rPr>
        <w:rFonts w:hint="default"/>
      </w:rPr>
    </w:lvl>
    <w:lvl w:ilvl="2">
      <w:start w:val="0"/>
      <w:numFmt w:val="bullet"/>
      <w:lvlText w:val="•"/>
      <w:lvlJc w:val="left"/>
      <w:pPr>
        <w:ind w:left="2557" w:hanging="360"/>
      </w:pPr>
      <w:rPr>
        <w:rFonts w:hint="default"/>
      </w:rPr>
    </w:lvl>
    <w:lvl w:ilvl="3">
      <w:start w:val="0"/>
      <w:numFmt w:val="bullet"/>
      <w:lvlText w:val="•"/>
      <w:lvlJc w:val="left"/>
      <w:pPr>
        <w:ind w:left="3415" w:hanging="360"/>
      </w:pPr>
      <w:rPr>
        <w:rFonts w:hint="default"/>
      </w:rPr>
    </w:lvl>
    <w:lvl w:ilvl="4">
      <w:start w:val="0"/>
      <w:numFmt w:val="bullet"/>
      <w:lvlText w:val="•"/>
      <w:lvlJc w:val="left"/>
      <w:pPr>
        <w:ind w:left="4274" w:hanging="360"/>
      </w:pPr>
      <w:rPr>
        <w:rFonts w:hint="default"/>
      </w:rPr>
    </w:lvl>
    <w:lvl w:ilvl="5">
      <w:start w:val="0"/>
      <w:numFmt w:val="bullet"/>
      <w:lvlText w:val="•"/>
      <w:lvlJc w:val="left"/>
      <w:pPr>
        <w:ind w:left="5133" w:hanging="360"/>
      </w:pPr>
      <w:rPr>
        <w:rFonts w:hint="default"/>
      </w:rPr>
    </w:lvl>
    <w:lvl w:ilvl="6">
      <w:start w:val="0"/>
      <w:numFmt w:val="bullet"/>
      <w:lvlText w:val="•"/>
      <w:lvlJc w:val="left"/>
      <w:pPr>
        <w:ind w:left="5991" w:hanging="360"/>
      </w:pPr>
      <w:rPr>
        <w:rFonts w:hint="default"/>
      </w:rPr>
    </w:lvl>
    <w:lvl w:ilvl="7">
      <w:start w:val="0"/>
      <w:numFmt w:val="bullet"/>
      <w:lvlText w:val="•"/>
      <w:lvlJc w:val="left"/>
      <w:pPr>
        <w:ind w:left="6850" w:hanging="360"/>
      </w:pPr>
      <w:rPr>
        <w:rFonts w:hint="default"/>
      </w:rPr>
    </w:lvl>
    <w:lvl w:ilvl="8">
      <w:start w:val="0"/>
      <w:numFmt w:val="bullet"/>
      <w:lvlText w:val="•"/>
      <w:lvlJc w:val="left"/>
      <w:pPr>
        <w:ind w:left="7709" w:hanging="360"/>
      </w:pPr>
      <w:rPr>
        <w:rFonts w:hint="default"/>
      </w:rPr>
    </w:lvl>
  </w:abstractNum>
  <w:abstractNum w:abstractNumId="2">
    <w:multiLevelType w:val="hybridMultilevel"/>
    <w:lvl w:ilvl="0">
      <w:start w:val="1"/>
      <w:numFmt w:val="lowerRoman"/>
      <w:lvlText w:val="(%1)"/>
      <w:lvlJc w:val="left"/>
      <w:pPr>
        <w:ind w:left="110" w:hanging="279"/>
        <w:jc w:val="left"/>
      </w:pPr>
      <w:rPr>
        <w:rFonts w:hint="default" w:ascii="Arial" w:hAnsi="Arial" w:eastAsia="Arial" w:cs="Arial"/>
        <w:spacing w:val="-3"/>
        <w:w w:val="99"/>
        <w:sz w:val="24"/>
        <w:szCs w:val="24"/>
      </w:rPr>
    </w:lvl>
    <w:lvl w:ilvl="1">
      <w:start w:val="0"/>
      <w:numFmt w:val="bullet"/>
      <w:lvlText w:val=""/>
      <w:lvlJc w:val="left"/>
      <w:pPr>
        <w:ind w:left="830" w:hanging="360"/>
      </w:pPr>
      <w:rPr>
        <w:rFonts w:hint="default" w:ascii="Wingdings" w:hAnsi="Wingdings" w:eastAsia="Wingdings" w:cs="Wingdings"/>
        <w:w w:val="100"/>
        <w:sz w:val="24"/>
        <w:szCs w:val="24"/>
      </w:rPr>
    </w:lvl>
    <w:lvl w:ilvl="2">
      <w:start w:val="0"/>
      <w:numFmt w:val="bullet"/>
      <w:lvlText w:val="•"/>
      <w:lvlJc w:val="left"/>
      <w:pPr>
        <w:ind w:left="1798" w:hanging="360"/>
      </w:pPr>
      <w:rPr>
        <w:rFonts w:hint="default"/>
      </w:rPr>
    </w:lvl>
    <w:lvl w:ilvl="3">
      <w:start w:val="0"/>
      <w:numFmt w:val="bullet"/>
      <w:lvlText w:val="•"/>
      <w:lvlJc w:val="left"/>
      <w:pPr>
        <w:ind w:left="2756" w:hanging="360"/>
      </w:pPr>
      <w:rPr>
        <w:rFonts w:hint="default"/>
      </w:rPr>
    </w:lvl>
    <w:lvl w:ilvl="4">
      <w:start w:val="0"/>
      <w:numFmt w:val="bullet"/>
      <w:lvlText w:val="•"/>
      <w:lvlJc w:val="left"/>
      <w:pPr>
        <w:ind w:left="3715" w:hanging="360"/>
      </w:pPr>
      <w:rPr>
        <w:rFonts w:hint="default"/>
      </w:rPr>
    </w:lvl>
    <w:lvl w:ilvl="5">
      <w:start w:val="0"/>
      <w:numFmt w:val="bullet"/>
      <w:lvlText w:val="•"/>
      <w:lvlJc w:val="left"/>
      <w:pPr>
        <w:ind w:left="4673" w:hanging="360"/>
      </w:pPr>
      <w:rPr>
        <w:rFonts w:hint="default"/>
      </w:rPr>
    </w:lvl>
    <w:lvl w:ilvl="6">
      <w:start w:val="0"/>
      <w:numFmt w:val="bullet"/>
      <w:lvlText w:val="•"/>
      <w:lvlJc w:val="left"/>
      <w:pPr>
        <w:ind w:left="5632" w:hanging="360"/>
      </w:pPr>
      <w:rPr>
        <w:rFonts w:hint="default"/>
      </w:rPr>
    </w:lvl>
    <w:lvl w:ilvl="7">
      <w:start w:val="0"/>
      <w:numFmt w:val="bullet"/>
      <w:lvlText w:val="•"/>
      <w:lvlJc w:val="left"/>
      <w:pPr>
        <w:ind w:left="6590" w:hanging="360"/>
      </w:pPr>
      <w:rPr>
        <w:rFonts w:hint="default"/>
      </w:rPr>
    </w:lvl>
    <w:lvl w:ilvl="8">
      <w:start w:val="0"/>
      <w:numFmt w:val="bullet"/>
      <w:lvlText w:val="•"/>
      <w:lvlJc w:val="left"/>
      <w:pPr>
        <w:ind w:left="7549" w:hanging="360"/>
      </w:pPr>
      <w:rPr>
        <w:rFonts w:hint="default"/>
      </w:rPr>
    </w:lvl>
  </w:abstractNum>
  <w:abstractNum w:abstractNumId="1">
    <w:multiLevelType w:val="hybridMultilevel"/>
    <w:lvl w:ilvl="0">
      <w:start w:val="0"/>
      <w:numFmt w:val="bullet"/>
      <w:lvlText w:val="-"/>
      <w:lvlJc w:val="left"/>
      <w:pPr>
        <w:ind w:left="256" w:hanging="147"/>
      </w:pPr>
      <w:rPr>
        <w:rFonts w:hint="default" w:ascii="Arial" w:hAnsi="Arial" w:eastAsia="Arial" w:cs="Arial"/>
        <w:w w:val="99"/>
        <w:sz w:val="24"/>
        <w:szCs w:val="24"/>
      </w:rPr>
    </w:lvl>
    <w:lvl w:ilvl="1">
      <w:start w:val="0"/>
      <w:numFmt w:val="bullet"/>
      <w:lvlText w:val=""/>
      <w:lvlJc w:val="left"/>
      <w:pPr>
        <w:ind w:left="830" w:hanging="360"/>
      </w:pPr>
      <w:rPr>
        <w:rFonts w:hint="default" w:ascii="Symbol" w:hAnsi="Symbol" w:eastAsia="Symbol" w:cs="Symbol"/>
        <w:w w:val="76"/>
        <w:sz w:val="24"/>
        <w:szCs w:val="24"/>
      </w:rPr>
    </w:lvl>
    <w:lvl w:ilvl="2">
      <w:start w:val="0"/>
      <w:numFmt w:val="bullet"/>
      <w:lvlText w:val="-"/>
      <w:lvlJc w:val="left"/>
      <w:pPr>
        <w:ind w:left="1190" w:hanging="360"/>
      </w:pPr>
      <w:rPr>
        <w:rFonts w:hint="default" w:ascii="Arial" w:hAnsi="Arial" w:eastAsia="Arial" w:cs="Arial"/>
        <w:spacing w:val="-4"/>
        <w:w w:val="99"/>
        <w:sz w:val="24"/>
        <w:szCs w:val="24"/>
      </w:rPr>
    </w:lvl>
    <w:lvl w:ilvl="3">
      <w:start w:val="0"/>
      <w:numFmt w:val="bullet"/>
      <w:lvlText w:val="•"/>
      <w:lvlJc w:val="left"/>
      <w:pPr>
        <w:ind w:left="2225" w:hanging="360"/>
      </w:pPr>
      <w:rPr>
        <w:rFonts w:hint="default"/>
      </w:rPr>
    </w:lvl>
    <w:lvl w:ilvl="4">
      <w:start w:val="0"/>
      <w:numFmt w:val="bullet"/>
      <w:lvlText w:val="•"/>
      <w:lvlJc w:val="left"/>
      <w:pPr>
        <w:ind w:left="3251" w:hanging="360"/>
      </w:pPr>
      <w:rPr>
        <w:rFonts w:hint="default"/>
      </w:rPr>
    </w:lvl>
    <w:lvl w:ilvl="5">
      <w:start w:val="0"/>
      <w:numFmt w:val="bullet"/>
      <w:lvlText w:val="•"/>
      <w:lvlJc w:val="left"/>
      <w:pPr>
        <w:ind w:left="4277" w:hanging="360"/>
      </w:pPr>
      <w:rPr>
        <w:rFonts w:hint="default"/>
      </w:rPr>
    </w:lvl>
    <w:lvl w:ilvl="6">
      <w:start w:val="0"/>
      <w:numFmt w:val="bullet"/>
      <w:lvlText w:val="•"/>
      <w:lvlJc w:val="left"/>
      <w:pPr>
        <w:ind w:left="5303" w:hanging="360"/>
      </w:pPr>
      <w:rPr>
        <w:rFonts w:hint="default"/>
      </w:rPr>
    </w:lvl>
    <w:lvl w:ilvl="7">
      <w:start w:val="0"/>
      <w:numFmt w:val="bullet"/>
      <w:lvlText w:val="•"/>
      <w:lvlJc w:val="left"/>
      <w:pPr>
        <w:ind w:left="6329" w:hanging="360"/>
      </w:pPr>
      <w:rPr>
        <w:rFonts w:hint="default"/>
      </w:rPr>
    </w:lvl>
    <w:lvl w:ilvl="8">
      <w:start w:val="0"/>
      <w:numFmt w:val="bullet"/>
      <w:lvlText w:val="•"/>
      <w:lvlJc w:val="left"/>
      <w:pPr>
        <w:ind w:left="7354" w:hanging="360"/>
      </w:pPr>
      <w:rPr>
        <w:rFonts w:hint="default"/>
      </w:rPr>
    </w:lvl>
  </w:abstractNum>
  <w:abstractNum w:abstractNumId="0">
    <w:multiLevelType w:val="hybridMultilevel"/>
    <w:lvl w:ilvl="0">
      <w:start w:val="0"/>
      <w:numFmt w:val="bullet"/>
      <w:lvlText w:val="-"/>
      <w:lvlJc w:val="left"/>
      <w:pPr>
        <w:ind w:left="830" w:hanging="360"/>
      </w:pPr>
      <w:rPr>
        <w:rFonts w:hint="default" w:ascii="Arial" w:hAnsi="Arial" w:eastAsia="Arial" w:cs="Arial"/>
        <w:spacing w:val="-3"/>
        <w:w w:val="99"/>
        <w:sz w:val="24"/>
        <w:szCs w:val="24"/>
      </w:rPr>
    </w:lvl>
    <w:lvl w:ilvl="1">
      <w:start w:val="0"/>
      <w:numFmt w:val="bullet"/>
      <w:lvlText w:val="•"/>
      <w:lvlJc w:val="left"/>
      <w:pPr>
        <w:ind w:left="1682" w:hanging="360"/>
      </w:pPr>
      <w:rPr>
        <w:rFonts w:hint="default"/>
      </w:rPr>
    </w:lvl>
    <w:lvl w:ilvl="2">
      <w:start w:val="0"/>
      <w:numFmt w:val="bullet"/>
      <w:lvlText w:val="•"/>
      <w:lvlJc w:val="left"/>
      <w:pPr>
        <w:ind w:left="2525" w:hanging="360"/>
      </w:pPr>
      <w:rPr>
        <w:rFonts w:hint="default"/>
      </w:rPr>
    </w:lvl>
    <w:lvl w:ilvl="3">
      <w:start w:val="0"/>
      <w:numFmt w:val="bullet"/>
      <w:lvlText w:val="•"/>
      <w:lvlJc w:val="left"/>
      <w:pPr>
        <w:ind w:left="3367" w:hanging="360"/>
      </w:pPr>
      <w:rPr>
        <w:rFonts w:hint="default"/>
      </w:rPr>
    </w:lvl>
    <w:lvl w:ilvl="4">
      <w:start w:val="0"/>
      <w:numFmt w:val="bullet"/>
      <w:lvlText w:val="•"/>
      <w:lvlJc w:val="left"/>
      <w:pPr>
        <w:ind w:left="4210" w:hanging="360"/>
      </w:pPr>
      <w:rPr>
        <w:rFonts w:hint="default"/>
      </w:rPr>
    </w:lvl>
    <w:lvl w:ilvl="5">
      <w:start w:val="0"/>
      <w:numFmt w:val="bullet"/>
      <w:lvlText w:val="•"/>
      <w:lvlJc w:val="left"/>
      <w:pPr>
        <w:ind w:left="5053" w:hanging="360"/>
      </w:pPr>
      <w:rPr>
        <w:rFonts w:hint="default"/>
      </w:rPr>
    </w:lvl>
    <w:lvl w:ilvl="6">
      <w:start w:val="0"/>
      <w:numFmt w:val="bullet"/>
      <w:lvlText w:val="•"/>
      <w:lvlJc w:val="left"/>
      <w:pPr>
        <w:ind w:left="5895" w:hanging="360"/>
      </w:pPr>
      <w:rPr>
        <w:rFonts w:hint="default"/>
      </w:rPr>
    </w:lvl>
    <w:lvl w:ilvl="7">
      <w:start w:val="0"/>
      <w:numFmt w:val="bullet"/>
      <w:lvlText w:val="•"/>
      <w:lvlJc w:val="left"/>
      <w:pPr>
        <w:ind w:left="6738" w:hanging="360"/>
      </w:pPr>
      <w:rPr>
        <w:rFonts w:hint="default"/>
      </w:rPr>
    </w:lvl>
    <w:lvl w:ilvl="8">
      <w:start w:val="0"/>
      <w:numFmt w:val="bullet"/>
      <w:lvlText w:val="•"/>
      <w:lvlJc w:val="left"/>
      <w:pPr>
        <w:ind w:left="7581" w:hanging="360"/>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9"/>
      <w:ind w:left="130"/>
    </w:pPr>
    <w:rPr>
      <w:rFonts w:ascii="Arial" w:hAnsi="Arial" w:eastAsia="Arial" w:cs="Arial"/>
      <w:b/>
      <w:bCs/>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01"/>
      <w:ind w:left="110"/>
      <w:outlineLvl w:val="1"/>
    </w:pPr>
    <w:rPr>
      <w:rFonts w:ascii="Arial Black" w:hAnsi="Arial Black" w:eastAsia="Arial Black" w:cs="Arial Black"/>
      <w:b/>
      <w:bCs/>
      <w:sz w:val="36"/>
      <w:szCs w:val="36"/>
    </w:rPr>
  </w:style>
  <w:style w:styleId="Heading2" w:type="paragraph">
    <w:name w:val="Heading 2"/>
    <w:basedOn w:val="Normal"/>
    <w:uiPriority w:val="1"/>
    <w:qFormat/>
    <w:pPr>
      <w:spacing w:before="89"/>
      <w:ind w:left="150"/>
      <w:outlineLvl w:val="2"/>
    </w:pPr>
    <w:rPr>
      <w:rFonts w:ascii="Arial" w:hAnsi="Arial" w:eastAsia="Arial" w:cs="Arial"/>
      <w:b/>
      <w:bCs/>
      <w:sz w:val="32"/>
      <w:szCs w:val="32"/>
    </w:rPr>
  </w:style>
  <w:style w:styleId="Heading3" w:type="paragraph">
    <w:name w:val="Heading 3"/>
    <w:basedOn w:val="Normal"/>
    <w:uiPriority w:val="1"/>
    <w:qFormat/>
    <w:pPr>
      <w:ind w:left="110"/>
      <w:outlineLvl w:val="3"/>
    </w:pPr>
    <w:rPr>
      <w:rFonts w:ascii="Arial" w:hAnsi="Arial" w:eastAsia="Arial" w:cs="Arial"/>
      <w:b/>
      <w:bCs/>
      <w:sz w:val="24"/>
      <w:szCs w:val="24"/>
      <w:u w:val="single" w:color="000000"/>
    </w:rPr>
  </w:style>
  <w:style w:styleId="ListParagraph" w:type="paragraph">
    <w:name w:val="List Paragraph"/>
    <w:basedOn w:val="Normal"/>
    <w:uiPriority w:val="1"/>
    <w:qFormat/>
    <w:pPr>
      <w:ind w:left="830" w:hanging="360"/>
    </w:pPr>
    <w:rPr>
      <w:rFonts w:ascii="Arial" w:hAnsi="Arial" w:eastAsia="Arial" w:cs="Arial"/>
    </w:rPr>
  </w:style>
  <w:style w:styleId="TableParagraph" w:type="paragraph">
    <w:name w:val="Table Paragraph"/>
    <w:basedOn w:val="Normal"/>
    <w:uiPriority w:val="1"/>
    <w:qFormat/>
    <w:pPr>
      <w:spacing w:line="260" w:lineRule="exac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oter" Target="footer1.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image" Target="media/image6.png"/><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header" Target="header4.xml"/><Relationship Id="rId19" Type="http://schemas.openxmlformats.org/officeDocument/2006/relationships/footer" Target="footer5.xml"/><Relationship Id="rId20" Type="http://schemas.openxmlformats.org/officeDocument/2006/relationships/image" Target="media/image7.png"/><Relationship Id="rId21" Type="http://schemas.openxmlformats.org/officeDocument/2006/relationships/header" Target="header5.xml"/><Relationship Id="rId22" Type="http://schemas.openxmlformats.org/officeDocument/2006/relationships/footer" Target="footer6.xml"/><Relationship Id="rId23" Type="http://schemas.openxmlformats.org/officeDocument/2006/relationships/image" Target="media/image8.jpe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footer" Target="footer7.xml"/><Relationship Id="rId31" Type="http://schemas.openxmlformats.org/officeDocument/2006/relationships/footer" Target="footer8.xml"/><Relationship Id="rId32" Type="http://schemas.openxmlformats.org/officeDocument/2006/relationships/footer" Target="footer9.xml"/><Relationship Id="rId33" Type="http://schemas.openxmlformats.org/officeDocument/2006/relationships/footer" Target="footer10.xml"/><Relationship Id="rId34" Type="http://schemas.openxmlformats.org/officeDocument/2006/relationships/hyperlink" Target="http://www.environ.ie/en/DevelopmentHousing/BuildingStandards/" TargetMode="External"/><Relationship Id="rId35" Type="http://schemas.openxmlformats.org/officeDocument/2006/relationships/header" Target="header6.xml"/><Relationship Id="rId36" Type="http://schemas.openxmlformats.org/officeDocument/2006/relationships/footer" Target="footer11.xml"/><Relationship Id="rId37" Type="http://schemas.openxmlformats.org/officeDocument/2006/relationships/image" Target="media/image15.png"/><Relationship Id="rId38" Type="http://schemas.openxmlformats.org/officeDocument/2006/relationships/header" Target="header7.xml"/><Relationship Id="rId39" Type="http://schemas.openxmlformats.org/officeDocument/2006/relationships/footer" Target="footer12.xml"/><Relationship Id="rId40" Type="http://schemas.openxmlformats.org/officeDocument/2006/relationships/header" Target="header8.xml"/><Relationship Id="rId41" Type="http://schemas.openxmlformats.org/officeDocument/2006/relationships/footer" Target="footer13.xml"/><Relationship Id="rId42" Type="http://schemas.openxmlformats.org/officeDocument/2006/relationships/header" Target="header9.xml"/><Relationship Id="rId43" Type="http://schemas.openxmlformats.org/officeDocument/2006/relationships/footer" Target="footer14.xml"/><Relationship Id="rId44" Type="http://schemas.openxmlformats.org/officeDocument/2006/relationships/header" Target="header10.xml"/><Relationship Id="rId45" Type="http://schemas.openxmlformats.org/officeDocument/2006/relationships/footer" Target="footer15.xml"/><Relationship Id="rId46" Type="http://schemas.openxmlformats.org/officeDocument/2006/relationships/hyperlink" Target="http://www.surveymonkey.com/r/Community-Sports-Survey-Cavan" TargetMode="External"/><Relationship Id="rId47" Type="http://schemas.openxmlformats.org/officeDocument/2006/relationships/hyperlink" Target="mailto:gboyle@cavancoco.ie" TargetMode="External"/><Relationship Id="rId48" Type="http://schemas.openxmlformats.org/officeDocument/2006/relationships/header" Target="header11.xml"/><Relationship Id="rId49" Type="http://schemas.openxmlformats.org/officeDocument/2006/relationships/footer" Target="footer16.xml"/><Relationship Id="rId50" Type="http://schemas.openxmlformats.org/officeDocument/2006/relationships/header" Target="header12.xml"/><Relationship Id="rId51" Type="http://schemas.openxmlformats.org/officeDocument/2006/relationships/footer" Target="footer17.xml"/><Relationship Id="rId52" Type="http://schemas.openxmlformats.org/officeDocument/2006/relationships/header" Target="header13.xml"/><Relationship Id="rId53" Type="http://schemas.openxmlformats.org/officeDocument/2006/relationships/footer" Target="footer18.xml"/><Relationship Id="rId54" Type="http://schemas.openxmlformats.org/officeDocument/2006/relationships/header" Target="header14.xml"/><Relationship Id="rId55" Type="http://schemas.openxmlformats.org/officeDocument/2006/relationships/footer" Target="footer19.xml"/><Relationship Id="rId56" Type="http://schemas.openxmlformats.org/officeDocument/2006/relationships/header" Target="header15.xml"/><Relationship Id="rId57" Type="http://schemas.openxmlformats.org/officeDocument/2006/relationships/footer" Target="footer20.xml"/><Relationship Id="rId58" Type="http://schemas.openxmlformats.org/officeDocument/2006/relationships/header" Target="header16.xml"/><Relationship Id="rId59" Type="http://schemas.openxmlformats.org/officeDocument/2006/relationships/footer" Target="footer21.xml"/><Relationship Id="rId60" Type="http://schemas.openxmlformats.org/officeDocument/2006/relationships/header" Target="header17.xml"/><Relationship Id="rId61" Type="http://schemas.openxmlformats.org/officeDocument/2006/relationships/footer" Target="footer22.xml"/><Relationship Id="rId62" Type="http://schemas.openxmlformats.org/officeDocument/2006/relationships/header" Target="header18.xml"/><Relationship Id="rId63" Type="http://schemas.openxmlformats.org/officeDocument/2006/relationships/footer" Target="footer23.xml"/><Relationship Id="rId64" Type="http://schemas.openxmlformats.org/officeDocument/2006/relationships/header" Target="header19.xml"/><Relationship Id="rId65" Type="http://schemas.openxmlformats.org/officeDocument/2006/relationships/footer" Target="footer24.xml"/><Relationship Id="rId66" Type="http://schemas.openxmlformats.org/officeDocument/2006/relationships/header" Target="header20.xml"/><Relationship Id="rId67" Type="http://schemas.openxmlformats.org/officeDocument/2006/relationships/footer" Target="footer25.xml"/><Relationship Id="rId68" Type="http://schemas.openxmlformats.org/officeDocument/2006/relationships/header" Target="header21.xml"/><Relationship Id="rId69" Type="http://schemas.openxmlformats.org/officeDocument/2006/relationships/footer" Target="footer26.xml"/><Relationship Id="rId70" Type="http://schemas.openxmlformats.org/officeDocument/2006/relationships/header" Target="header22.xml"/><Relationship Id="rId71" Type="http://schemas.openxmlformats.org/officeDocument/2006/relationships/footer" Target="footer27.xml"/><Relationship Id="rId72" Type="http://schemas.openxmlformats.org/officeDocument/2006/relationships/image" Target="media/image16.jpeg"/><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gboyle</dc:creator>
  <dc:title>County Cavan Community &amp; Sports Facilities Survey</dc:title>
  <dcterms:created xsi:type="dcterms:W3CDTF">2017-05-26T11:58:45Z</dcterms:created>
  <dcterms:modified xsi:type="dcterms:W3CDTF">2017-05-26T11:58:45Z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2017-03-29T00:00:00Z</vt:filetime>
  </property>
  <property fmtid="{D5CDD505-2E9C-101B-9397-08002B2CF9AE}" pid="3" name="Creator">
    <vt:lpwstr>Microsoft® Office Word 2007</vt:lpwstr>
  </property>
  <property fmtid="{D5CDD505-2E9C-101B-9397-08002B2CF9AE}" pid="4" name="LastSaved">
    <vt:filetime>2017-05-26T00:00:00Z</vt:filetime>
  </property>
</Properties>
</file>